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74472" w14:textId="00616F2F" w:rsidR="00E53A82" w:rsidRPr="003346C1" w:rsidRDefault="00E53A82" w:rsidP="00E53A82">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3GPP TSG-RAN1 #84</w:t>
      </w:r>
      <w:r w:rsidRPr="003346C1">
        <w:rPr>
          <w:rFonts w:eastAsia="MS Mincho" w:cs="Arial"/>
          <w:kern w:val="0"/>
          <w:sz w:val="24"/>
          <w:lang w:val="en-US" w:eastAsia="en-US"/>
        </w:rPr>
        <w:tab/>
        <w:t>R1-16</w:t>
      </w:r>
      <w:r>
        <w:rPr>
          <w:rFonts w:eastAsia="MS Mincho" w:cs="Arial"/>
          <w:kern w:val="0"/>
          <w:sz w:val="24"/>
          <w:lang w:val="en-US" w:eastAsia="en-US"/>
        </w:rPr>
        <w:t>0259</w:t>
      </w:r>
    </w:p>
    <w:p w14:paraId="43999671" w14:textId="77777777" w:rsidR="00E53A82" w:rsidRPr="003346C1" w:rsidRDefault="00E53A82" w:rsidP="00E53A82">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3346C1">
        <w:rPr>
          <w:rFonts w:eastAsia="MS Mincho" w:cs="Arial"/>
          <w:kern w:val="0"/>
          <w:sz w:val="24"/>
          <w:lang w:val="en-US" w:eastAsia="en-US"/>
        </w:rPr>
        <w:t>1</w:t>
      </w:r>
      <w:r>
        <w:rPr>
          <w:rFonts w:eastAsia="MS Mincho" w:cs="Arial"/>
          <w:kern w:val="0"/>
          <w:sz w:val="24"/>
          <w:lang w:val="en-US" w:eastAsia="en-US"/>
        </w:rPr>
        <w:t>5-19 February</w:t>
      </w:r>
      <w:r w:rsidRPr="003346C1">
        <w:rPr>
          <w:rFonts w:eastAsia="MS Mincho" w:cs="Arial"/>
          <w:kern w:val="0"/>
          <w:sz w:val="24"/>
          <w:lang w:val="en-US" w:eastAsia="en-US"/>
        </w:rPr>
        <w:t xml:space="preserve"> 2016</w:t>
      </w:r>
    </w:p>
    <w:p w14:paraId="4DBB13A6" w14:textId="77777777" w:rsidR="008A7DC7" w:rsidRPr="00BD21BC" w:rsidRDefault="008A7DC7" w:rsidP="008A7DC7">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4EBBD30B"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A40FD8">
        <w:rPr>
          <w:rFonts w:cs="Arial"/>
          <w:b/>
          <w:sz w:val="24"/>
          <w:lang w:val="en-US" w:eastAsia="ja-JP"/>
        </w:rPr>
        <w:t>NB-</w:t>
      </w:r>
      <w:proofErr w:type="spellStart"/>
      <w:r w:rsidR="002F14AD">
        <w:rPr>
          <w:rFonts w:cs="Arial"/>
          <w:b/>
          <w:sz w:val="24"/>
          <w:lang w:val="en-US" w:eastAsia="ja-JP"/>
        </w:rPr>
        <w:t>IoT</w:t>
      </w:r>
      <w:proofErr w:type="spellEnd"/>
      <w:r w:rsidRPr="00BD21BC">
        <w:rPr>
          <w:rFonts w:cs="Arial"/>
          <w:b/>
          <w:sz w:val="24"/>
          <w:lang w:val="en-US" w:eastAsia="ja-JP"/>
        </w:rPr>
        <w:t xml:space="preserve"> – </w:t>
      </w:r>
      <w:r w:rsidR="00A40FD8">
        <w:rPr>
          <w:rFonts w:cs="Arial"/>
          <w:b/>
          <w:sz w:val="24"/>
          <w:lang w:val="en-US" w:eastAsia="ja-JP"/>
        </w:rPr>
        <w:t>NB-PBCH design</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7B41CFEA" w:rsidR="00A675B4" w:rsidRPr="00DF438D" w:rsidRDefault="00BD21BC" w:rsidP="00BD21BC">
      <w:pPr>
        <w:keepNext/>
        <w:tabs>
          <w:tab w:val="left" w:pos="2552"/>
        </w:tabs>
        <w:rPr>
          <w:lang w:val="en-US"/>
        </w:rPr>
      </w:pPr>
      <w:r w:rsidRPr="001B1584">
        <w:rPr>
          <w:rFonts w:cs="Arial"/>
          <w:b/>
          <w:sz w:val="24"/>
          <w:lang w:val="en-US"/>
        </w:rPr>
        <w:t xml:space="preserve">Agenda Item:         </w:t>
      </w:r>
      <w:r w:rsidRPr="001B1584">
        <w:rPr>
          <w:rFonts w:cs="Arial"/>
          <w:b/>
          <w:sz w:val="24"/>
          <w:lang w:val="en-US"/>
        </w:rPr>
        <w:tab/>
      </w:r>
      <w:r w:rsidR="00EC7884">
        <w:rPr>
          <w:rFonts w:cs="Arial"/>
          <w:b/>
          <w:sz w:val="24"/>
          <w:lang w:val="en-US"/>
        </w:rPr>
        <w:t>7.2.1.1.1</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2FFE4AC2" w14:textId="35BFDA55" w:rsidR="00D168A9" w:rsidRDefault="00D168A9" w:rsidP="00D168A9">
      <w:pPr>
        <w:pStyle w:val="BodyText"/>
        <w:rPr>
          <w:lang w:val="en-US"/>
        </w:rPr>
      </w:pPr>
      <w:bookmarkStart w:id="1" w:name="_Ref429119571"/>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Pr>
          <w:i/>
          <w:lang w:val="en-US"/>
        </w:rPr>
        <w:t>b</w:t>
      </w:r>
      <w:r w:rsidRPr="00D9057B">
        <w:rPr>
          <w:i/>
          <w:lang w:val="en-US"/>
        </w:rPr>
        <w:t xml:space="preserve">and </w:t>
      </w:r>
      <w:proofErr w:type="spellStart"/>
      <w:r w:rsidRPr="00D9057B">
        <w:rPr>
          <w:i/>
          <w:lang w:val="en-US"/>
        </w:rPr>
        <w:t>I</w:t>
      </w:r>
      <w:r>
        <w:rPr>
          <w:i/>
          <w:lang w:val="en-US"/>
        </w:rPr>
        <w:t>o</w:t>
      </w:r>
      <w:r w:rsidRPr="00D9057B">
        <w:rPr>
          <w:i/>
          <w:lang w:val="en-US"/>
        </w:rPr>
        <w:t>T</w:t>
      </w:r>
      <w:proofErr w:type="spellEnd"/>
      <w:r w:rsidRPr="00D9057B">
        <w:rPr>
          <w:i/>
          <w:lang w:val="en-US"/>
        </w:rPr>
        <w:t xml:space="preserve"> (NB-</w:t>
      </w:r>
      <w:proofErr w:type="spellStart"/>
      <w:r w:rsidRPr="00D9057B">
        <w:rPr>
          <w:i/>
          <w:lang w:val="en-US"/>
        </w:rPr>
        <w:t>I</w:t>
      </w:r>
      <w:r>
        <w:rPr>
          <w:i/>
          <w:lang w:val="en-US"/>
        </w:rPr>
        <w:t>o</w:t>
      </w:r>
      <w:r w:rsidRPr="00D9057B">
        <w:rPr>
          <w:i/>
          <w:lang w:val="en-US"/>
        </w:rPr>
        <w:t>T</w:t>
      </w:r>
      <w:proofErr w:type="spellEnd"/>
      <w:r w:rsidRPr="00D9057B">
        <w:rPr>
          <w:i/>
          <w:lang w:val="en-US"/>
        </w:rPr>
        <w:t>)</w:t>
      </w:r>
      <w:r>
        <w:rPr>
          <w:lang w:val="en-US"/>
        </w:rPr>
        <w:t xml:space="preserve"> was approved, see</w:t>
      </w:r>
      <w:r w:rsidR="00021FA9">
        <w:rPr>
          <w:lang w:val="en-US"/>
        </w:rPr>
        <w:t xml:space="preserve"> </w:t>
      </w:r>
      <w:r w:rsidR="00021FA9">
        <w:rPr>
          <w:lang w:val="en-US"/>
        </w:rPr>
        <w:fldChar w:fldCharType="begin"/>
      </w:r>
      <w:r w:rsidR="00021FA9">
        <w:rPr>
          <w:lang w:val="en-US"/>
        </w:rPr>
        <w:instrText xml:space="preserve"> REF _Ref434328991 \r \h </w:instrText>
      </w:r>
      <w:r w:rsidR="00021FA9">
        <w:rPr>
          <w:lang w:val="en-US"/>
        </w:rPr>
      </w:r>
      <w:r w:rsidR="00021FA9">
        <w:rPr>
          <w:lang w:val="en-US"/>
        </w:rPr>
        <w:fldChar w:fldCharType="separate"/>
      </w:r>
      <w:r w:rsidR="00021FA9">
        <w:rPr>
          <w:lang w:val="en-US"/>
        </w:rPr>
        <w:t>[1]</w:t>
      </w:r>
      <w:r w:rsidR="00021FA9">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4986CF97" w14:textId="77777777" w:rsidR="00D168A9" w:rsidRPr="000A105F" w:rsidRDefault="00D168A9" w:rsidP="00D168A9">
      <w:pPr>
        <w:pStyle w:val="BodyText"/>
        <w:rPr>
          <w:highlight w:val="yellow"/>
        </w:rPr>
      </w:pPr>
      <w:r w:rsidRPr="003346C1">
        <w:t xml:space="preserve">In RAN#70, the following items have been agreed </w:t>
      </w:r>
      <w:r w:rsidRPr="003346C1">
        <w:fldChar w:fldCharType="begin"/>
      </w:r>
      <w:r w:rsidRPr="003346C1">
        <w:instrText xml:space="preserve"> REF _Ref436223503 \r \h  \* MERGEFORMAT </w:instrText>
      </w:r>
      <w:r w:rsidRPr="003346C1">
        <w:fldChar w:fldCharType="separate"/>
      </w:r>
      <w:r w:rsidR="00021FA9">
        <w:t>[2]</w:t>
      </w:r>
      <w:r w:rsidRPr="003346C1">
        <w:fldChar w:fldCharType="end"/>
      </w:r>
      <w:r w:rsidRPr="003346C1">
        <w:t>.</w:t>
      </w:r>
    </w:p>
    <w:p w14:paraId="53D6A8E6" w14:textId="77777777" w:rsidR="00D168A9" w:rsidRDefault="00D168A9" w:rsidP="00D168A9">
      <w:pPr>
        <w:numPr>
          <w:ilvl w:val="0"/>
          <w:numId w:val="43"/>
        </w:numPr>
        <w:spacing w:after="180"/>
        <w:ind w:right="-99"/>
        <w:jc w:val="left"/>
        <w:rPr>
          <w:bCs/>
        </w:rPr>
      </w:pPr>
      <w:r>
        <w:rPr>
          <w:bCs/>
        </w:rPr>
        <w:t>180 kHz UE RF bandwidth for both downlink and uplink</w:t>
      </w:r>
    </w:p>
    <w:p w14:paraId="6D1A5F9C" w14:textId="77777777" w:rsidR="00D168A9" w:rsidRDefault="00D168A9" w:rsidP="00D168A9">
      <w:pPr>
        <w:numPr>
          <w:ilvl w:val="0"/>
          <w:numId w:val="43"/>
        </w:numPr>
        <w:spacing w:after="180"/>
        <w:ind w:right="-99"/>
        <w:jc w:val="left"/>
        <w:rPr>
          <w:bCs/>
        </w:rPr>
      </w:pPr>
      <w:r w:rsidRPr="0007668C">
        <w:rPr>
          <w:bCs/>
        </w:rPr>
        <w:t>OFDMA on the downlink</w:t>
      </w:r>
    </w:p>
    <w:p w14:paraId="27D2DEA2" w14:textId="77777777" w:rsidR="00D168A9" w:rsidRDefault="00D168A9" w:rsidP="00D168A9">
      <w:pPr>
        <w:numPr>
          <w:ilvl w:val="1"/>
          <w:numId w:val="43"/>
        </w:numPr>
        <w:spacing w:after="180"/>
        <w:ind w:right="-99"/>
        <w:jc w:val="left"/>
        <w:rPr>
          <w:bCs/>
        </w:rPr>
      </w:pPr>
      <w:r>
        <w:rPr>
          <w:bCs/>
        </w:rPr>
        <w:t xml:space="preserve">15 kHz sub-carrier spacing for all the modes of operation (with normal or extended CP). </w:t>
      </w:r>
    </w:p>
    <w:p w14:paraId="5FB3A32C" w14:textId="77777777" w:rsidR="00D168A9" w:rsidRDefault="00D168A9" w:rsidP="00D168A9">
      <w:pPr>
        <w:numPr>
          <w:ilvl w:val="0"/>
          <w:numId w:val="43"/>
        </w:numPr>
        <w:spacing w:after="180"/>
        <w:ind w:right="-99"/>
        <w:jc w:val="left"/>
        <w:rPr>
          <w:bCs/>
        </w:rPr>
      </w:pPr>
      <w:r>
        <w:rPr>
          <w:bCs/>
        </w:rPr>
        <w:t xml:space="preserve">For the uplink: </w:t>
      </w:r>
    </w:p>
    <w:p w14:paraId="0987C347" w14:textId="77777777" w:rsidR="00D168A9" w:rsidRDefault="00D168A9" w:rsidP="00D168A9">
      <w:pPr>
        <w:numPr>
          <w:ilvl w:val="1"/>
          <w:numId w:val="43"/>
        </w:numPr>
        <w:spacing w:after="180"/>
        <w:ind w:right="-99"/>
        <w:jc w:val="left"/>
        <w:rPr>
          <w:bCs/>
        </w:rPr>
      </w:pPr>
      <w:r>
        <w:rPr>
          <w:bCs/>
        </w:rPr>
        <w:t xml:space="preserve">Single tone transmissions are supported. Two numerologies should be configurable by the network for single-tone transmission: 3.75 kHz and 15 kHz. A cyclic prefix is inserted. Frequency domain </w:t>
      </w:r>
      <w:proofErr w:type="spellStart"/>
      <w:r>
        <w:rPr>
          <w:bCs/>
        </w:rPr>
        <w:t>sinc</w:t>
      </w:r>
      <w:proofErr w:type="spellEnd"/>
      <w:r>
        <w:rPr>
          <w:bCs/>
        </w:rPr>
        <w:t xml:space="preserve"> pulse-shaping in the physical layer description.</w:t>
      </w:r>
    </w:p>
    <w:p w14:paraId="385B2AAC" w14:textId="77777777" w:rsidR="00D168A9" w:rsidRDefault="00D168A9" w:rsidP="00D168A9">
      <w:pPr>
        <w:numPr>
          <w:ilvl w:val="1"/>
          <w:numId w:val="43"/>
        </w:numPr>
        <w:spacing w:after="180"/>
        <w:ind w:right="-99"/>
        <w:jc w:val="left"/>
        <w:rPr>
          <w:bCs/>
        </w:rPr>
      </w:pPr>
      <w:r>
        <w:rPr>
          <w:bCs/>
        </w:rPr>
        <w:t>Multi-tone transmissions are supported, based on SC-FDMA with 15 kHz UL subcarrier spacing.</w:t>
      </w:r>
    </w:p>
    <w:p w14:paraId="1C80E4F3" w14:textId="77777777" w:rsidR="00D168A9" w:rsidRDefault="00D168A9" w:rsidP="00D168A9">
      <w:pPr>
        <w:numPr>
          <w:ilvl w:val="1"/>
          <w:numId w:val="43"/>
        </w:numPr>
        <w:spacing w:after="180"/>
        <w:ind w:right="-99"/>
        <w:jc w:val="left"/>
        <w:rPr>
          <w:bCs/>
        </w:rPr>
      </w:pPr>
      <w:r>
        <w:rPr>
          <w:bCs/>
        </w:rPr>
        <w:t>FFS: Additional mechanisms for PAPR reduction.</w:t>
      </w:r>
    </w:p>
    <w:p w14:paraId="17DBF74D" w14:textId="77777777" w:rsidR="00D168A9" w:rsidRPr="005560B2" w:rsidRDefault="00D168A9" w:rsidP="00D168A9">
      <w:pPr>
        <w:numPr>
          <w:ilvl w:val="1"/>
          <w:numId w:val="43"/>
        </w:numPr>
        <w:spacing w:after="180"/>
        <w:ind w:right="-99"/>
        <w:jc w:val="left"/>
        <w:rPr>
          <w:bCs/>
        </w:rPr>
      </w:pPr>
      <w:r>
        <w:rPr>
          <w:bCs/>
        </w:rPr>
        <w:t>The UE shall indicate the support single-tone and/or multi-tone, details to be discussed by RAN WGs</w:t>
      </w:r>
    </w:p>
    <w:p w14:paraId="6CAB0136" w14:textId="31F65EEE" w:rsidR="00D168A9" w:rsidRDefault="00D168A9" w:rsidP="00D168A9">
      <w:r w:rsidRPr="00D15FDF">
        <w:t>In RAN1 NB-</w:t>
      </w:r>
      <w:proofErr w:type="spellStart"/>
      <w:r w:rsidRPr="00D15FDF">
        <w:t>IoT</w:t>
      </w:r>
      <w:proofErr w:type="spellEnd"/>
      <w:r w:rsidRPr="00D15FDF">
        <w:t xml:space="preserve"> ad hoc meeting, </w:t>
      </w:r>
      <w:r w:rsidR="00D40A41">
        <w:t>many features of NB-PBCH design have been agreed</w:t>
      </w:r>
      <w:r>
        <w:rPr>
          <w:rFonts w:eastAsia="MS Mincho"/>
          <w:lang w:val="en-US" w:eastAsia="ja-JP"/>
        </w:rPr>
        <w:t xml:space="preserve"> </w:t>
      </w:r>
      <w:r w:rsidRPr="00D15FDF">
        <w:fldChar w:fldCharType="begin"/>
      </w:r>
      <w:r w:rsidRPr="00D15FDF">
        <w:instrText xml:space="preserve"> REF _Ref441756286 \r \h  \* MERGEFORMAT </w:instrText>
      </w:r>
      <w:r w:rsidRPr="00D15FDF">
        <w:fldChar w:fldCharType="separate"/>
      </w:r>
      <w:r w:rsidR="00021FA9">
        <w:t>[3]</w:t>
      </w:r>
      <w:r w:rsidRPr="00D15FDF">
        <w:fldChar w:fldCharType="end"/>
      </w:r>
      <w:r w:rsidR="00D40A41">
        <w:t>.</w:t>
      </w:r>
    </w:p>
    <w:p w14:paraId="2F4EC122" w14:textId="77777777" w:rsidR="00D40A41" w:rsidRDefault="00D40A41" w:rsidP="00D40A41">
      <w:pPr>
        <w:rPr>
          <w:rFonts w:eastAsia="MS Mincho"/>
          <w:lang w:val="en-US" w:eastAsia="ja-JP"/>
        </w:rPr>
      </w:pPr>
      <w:r>
        <w:rPr>
          <w:rFonts w:eastAsia="MS Mincho"/>
          <w:b/>
          <w:highlight w:val="green"/>
          <w:u w:val="single"/>
          <w:lang w:eastAsia="ja-JP"/>
        </w:rPr>
        <w:t>Agreements:</w:t>
      </w:r>
    </w:p>
    <w:p w14:paraId="7B5409DE"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 xml:space="preserve">In FDD mode, NB-PBCH is transmitted in </w:t>
      </w:r>
      <w:proofErr w:type="spellStart"/>
      <w:r>
        <w:rPr>
          <w:rFonts w:eastAsia="MS Mincho"/>
          <w:lang w:val="en-US" w:eastAsia="ja-JP"/>
        </w:rPr>
        <w:t>subframe</w:t>
      </w:r>
      <w:proofErr w:type="spellEnd"/>
      <w:r>
        <w:rPr>
          <w:rFonts w:eastAsia="MS Mincho"/>
          <w:lang w:val="en-US" w:eastAsia="ja-JP"/>
        </w:rPr>
        <w:t xml:space="preserve"> 0 in every radio frame</w:t>
      </w:r>
    </w:p>
    <w:p w14:paraId="620B85A7"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 xml:space="preserve">In FDD mode, NB-PBCH does not use the first 3 symbols in a </w:t>
      </w:r>
      <w:proofErr w:type="spellStart"/>
      <w:r>
        <w:rPr>
          <w:rFonts w:eastAsia="MS Mincho"/>
          <w:lang w:val="en-US" w:eastAsia="ja-JP"/>
        </w:rPr>
        <w:t>subframe</w:t>
      </w:r>
      <w:proofErr w:type="spellEnd"/>
      <w:r>
        <w:rPr>
          <w:rFonts w:eastAsia="MS Mincho"/>
          <w:lang w:val="en-US" w:eastAsia="ja-JP"/>
        </w:rPr>
        <w:t xml:space="preserve"> at least in in-band operation</w:t>
      </w:r>
    </w:p>
    <w:p w14:paraId="6F13492F"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 xml:space="preserve">For stand-alone and guard band operations, in the </w:t>
      </w:r>
      <w:proofErr w:type="spellStart"/>
      <w:r>
        <w:rPr>
          <w:rFonts w:eastAsia="MS Mincho"/>
          <w:lang w:val="en-US" w:eastAsia="ja-JP"/>
        </w:rPr>
        <w:t>subframe</w:t>
      </w:r>
      <w:proofErr w:type="spellEnd"/>
      <w:r>
        <w:rPr>
          <w:rFonts w:eastAsia="MS Mincho"/>
          <w:lang w:val="en-US" w:eastAsia="ja-JP"/>
        </w:rPr>
        <w:t xml:space="preserve"> transmitted NB-PBCH, the first 3 symbols contains no NB-PBCH</w:t>
      </w:r>
    </w:p>
    <w:p w14:paraId="51EB7108"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NB-PBCH is rate matched around 4 port LTE CRS location based on PCID from NB-SSS</w:t>
      </w:r>
    </w:p>
    <w:p w14:paraId="505C1B65" w14:textId="77777777" w:rsidR="00D40A41" w:rsidRDefault="00D40A41" w:rsidP="00D40A41">
      <w:pPr>
        <w:numPr>
          <w:ilvl w:val="1"/>
          <w:numId w:val="45"/>
        </w:numPr>
        <w:overflowPunct/>
        <w:autoSpaceDE/>
        <w:autoSpaceDN/>
        <w:adjustRightInd/>
        <w:spacing w:after="0"/>
        <w:jc w:val="left"/>
        <w:textAlignment w:val="auto"/>
        <w:rPr>
          <w:rFonts w:eastAsia="MS Mincho"/>
          <w:lang w:val="en-US" w:eastAsia="ja-JP"/>
        </w:rPr>
      </w:pPr>
      <w:r>
        <w:rPr>
          <w:rFonts w:eastAsia="MS Mincho"/>
          <w:lang w:val="en-US" w:eastAsia="ja-JP"/>
        </w:rPr>
        <w:t>It is not precluded the PCID from NB-SSS is different from the LTE PCID</w:t>
      </w:r>
    </w:p>
    <w:p w14:paraId="7893C336" w14:textId="77777777" w:rsidR="00D40A41" w:rsidRDefault="00D40A41" w:rsidP="00D40A41">
      <w:pPr>
        <w:numPr>
          <w:ilvl w:val="2"/>
          <w:numId w:val="45"/>
        </w:numPr>
        <w:overflowPunct/>
        <w:autoSpaceDE/>
        <w:autoSpaceDN/>
        <w:adjustRightInd/>
        <w:spacing w:after="0"/>
        <w:jc w:val="left"/>
        <w:textAlignment w:val="auto"/>
        <w:rPr>
          <w:rFonts w:eastAsia="MS Mincho"/>
          <w:lang w:val="en-US" w:eastAsia="ja-JP"/>
        </w:rPr>
      </w:pPr>
      <w:r>
        <w:rPr>
          <w:rFonts w:eastAsia="MS Mincho"/>
          <w:lang w:val="en-US" w:eastAsia="ja-JP"/>
        </w:rPr>
        <w:t>Note that the PCID from NB-SSS and the LTE PCID indicate the same LTE CRS position</w:t>
      </w:r>
    </w:p>
    <w:p w14:paraId="57B4E06F"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 xml:space="preserve">The time interval where MIB remains unchanged is 640 </w:t>
      </w:r>
      <w:proofErr w:type="spellStart"/>
      <w:r>
        <w:rPr>
          <w:rFonts w:eastAsia="MS Mincho"/>
          <w:lang w:val="en-US" w:eastAsia="ja-JP"/>
        </w:rPr>
        <w:t>ms</w:t>
      </w:r>
      <w:proofErr w:type="spellEnd"/>
    </w:p>
    <w:p w14:paraId="5112D8DE" w14:textId="77777777" w:rsidR="00D40A41" w:rsidRDefault="00D40A41" w:rsidP="00D40A41">
      <w:pPr>
        <w:numPr>
          <w:ilvl w:val="0"/>
          <w:numId w:val="45"/>
        </w:numPr>
        <w:overflowPunct/>
        <w:autoSpaceDE/>
        <w:autoSpaceDN/>
        <w:adjustRightInd/>
        <w:spacing w:after="0"/>
        <w:jc w:val="left"/>
        <w:textAlignment w:val="auto"/>
        <w:rPr>
          <w:rFonts w:eastAsia="MS Mincho"/>
          <w:lang w:val="en-US" w:eastAsia="ja-JP"/>
        </w:rPr>
      </w:pPr>
      <w:r>
        <w:rPr>
          <w:rFonts w:eastAsia="MS Mincho"/>
          <w:lang w:val="en-US" w:eastAsia="ja-JP"/>
        </w:rPr>
        <w:t xml:space="preserve">NB-PBCH consists of 8 independently decodable blocks of 80 </w:t>
      </w:r>
      <w:proofErr w:type="spellStart"/>
      <w:r>
        <w:rPr>
          <w:rFonts w:eastAsia="MS Mincho"/>
          <w:lang w:val="en-US" w:eastAsia="ja-JP"/>
        </w:rPr>
        <w:t>ms</w:t>
      </w:r>
      <w:proofErr w:type="spellEnd"/>
      <w:r>
        <w:rPr>
          <w:rFonts w:eastAsia="MS Mincho"/>
          <w:lang w:val="en-US" w:eastAsia="ja-JP"/>
        </w:rPr>
        <w:t xml:space="preserve"> duration</w:t>
      </w:r>
    </w:p>
    <w:p w14:paraId="775A7651" w14:textId="77777777" w:rsidR="00D168A9" w:rsidRPr="00D15FDF" w:rsidRDefault="00D168A9" w:rsidP="00D168A9">
      <w:pPr>
        <w:overflowPunct/>
        <w:autoSpaceDE/>
        <w:autoSpaceDN/>
        <w:adjustRightInd/>
        <w:spacing w:after="0"/>
        <w:jc w:val="left"/>
        <w:textAlignment w:val="auto"/>
        <w:rPr>
          <w:rFonts w:eastAsia="MS Mincho"/>
          <w:lang w:eastAsia="ja-JP"/>
        </w:rPr>
      </w:pPr>
    </w:p>
    <w:p w14:paraId="6479EB73" w14:textId="5185BB4D" w:rsidR="00D168A9" w:rsidRPr="00E74B59" w:rsidRDefault="00D168A9" w:rsidP="00D168A9">
      <w:pPr>
        <w:pStyle w:val="BodyText"/>
        <w:rPr>
          <w:b/>
        </w:rPr>
      </w:pPr>
      <w:r w:rsidRPr="00E74B59">
        <w:rPr>
          <w:b/>
        </w:rPr>
        <w:t xml:space="preserve">In this contribution, we </w:t>
      </w:r>
      <w:r w:rsidR="00D40A41" w:rsidRPr="00E74B59">
        <w:rPr>
          <w:b/>
        </w:rPr>
        <w:t>provide more complete PBCH BLER results.</w:t>
      </w:r>
    </w:p>
    <w:p w14:paraId="382E410C" w14:textId="162C3E0E" w:rsidR="00BA3FBD" w:rsidRPr="00BA3FBD" w:rsidRDefault="00A40FD8" w:rsidP="00BA3FBD">
      <w:pPr>
        <w:pStyle w:val="Heading1"/>
      </w:pPr>
      <w:r>
        <w:t>NB-PBCH Design</w:t>
      </w:r>
    </w:p>
    <w:bookmarkEnd w:id="1"/>
    <w:p w14:paraId="09E2E618" w14:textId="30F69382" w:rsidR="002D224A" w:rsidRPr="00FE1F13" w:rsidRDefault="002D224A" w:rsidP="002D224A">
      <w:pPr>
        <w:rPr>
          <w:color w:val="000000" w:themeColor="text1"/>
          <w:lang w:val="en-US"/>
        </w:rPr>
      </w:pPr>
      <w:r w:rsidRPr="00FE1F13">
        <w:rPr>
          <w:color w:val="000000" w:themeColor="text1"/>
          <w:lang w:val="en-US"/>
        </w:rPr>
        <w:t>In NB-</w:t>
      </w:r>
      <w:proofErr w:type="spellStart"/>
      <w:r>
        <w:rPr>
          <w:color w:val="000000" w:themeColor="text1"/>
          <w:lang w:val="en-US"/>
        </w:rPr>
        <w:t>IoT</w:t>
      </w:r>
      <w:proofErr w:type="spellEnd"/>
      <w:r w:rsidRPr="00FE1F13">
        <w:rPr>
          <w:color w:val="000000" w:themeColor="text1"/>
          <w:lang w:val="en-US"/>
        </w:rPr>
        <w:t>, the essential system information</w:t>
      </w:r>
      <w:r>
        <w:rPr>
          <w:color w:val="000000" w:themeColor="text1"/>
          <w:lang w:val="en-US"/>
        </w:rPr>
        <w:t xml:space="preserve">, e.g., </w:t>
      </w:r>
      <w:r w:rsidRPr="00FE1F13">
        <w:rPr>
          <w:color w:val="000000" w:themeColor="text1"/>
          <w:lang w:val="en-US"/>
        </w:rPr>
        <w:t>system frame number</w:t>
      </w:r>
      <w:r>
        <w:rPr>
          <w:color w:val="000000" w:themeColor="text1"/>
          <w:lang w:val="en-US"/>
        </w:rPr>
        <w:t xml:space="preserve"> (SFN</w:t>
      </w:r>
      <w:r w:rsidRPr="00FE1F13">
        <w:rPr>
          <w:color w:val="000000" w:themeColor="text1"/>
          <w:lang w:val="en-US"/>
        </w:rPr>
        <w:t>)</w:t>
      </w:r>
      <w:r>
        <w:rPr>
          <w:color w:val="000000" w:themeColor="text1"/>
          <w:lang w:val="en-US"/>
        </w:rPr>
        <w:t>,</w:t>
      </w:r>
      <w:r w:rsidRPr="00FE1F13">
        <w:rPr>
          <w:color w:val="000000" w:themeColor="text1"/>
          <w:lang w:val="en-US"/>
        </w:rPr>
        <w:t xml:space="preserve"> for initial access to a c</w:t>
      </w:r>
      <w:r w:rsidR="00000C85">
        <w:rPr>
          <w:color w:val="000000" w:themeColor="text1"/>
          <w:lang w:val="en-US"/>
        </w:rPr>
        <w:t xml:space="preserve">ell is carried on </w:t>
      </w:r>
      <w:r w:rsidR="00321FE9">
        <w:rPr>
          <w:color w:val="000000" w:themeColor="text1"/>
          <w:lang w:val="en-US"/>
        </w:rPr>
        <w:t>NB-PBCH</w:t>
      </w:r>
      <w:r w:rsidR="00000C85">
        <w:rPr>
          <w:color w:val="000000" w:themeColor="text1"/>
          <w:lang w:val="en-US"/>
        </w:rPr>
        <w:t>. NB-</w:t>
      </w:r>
      <w:proofErr w:type="spellStart"/>
      <w:r w:rsidR="00000C85">
        <w:rPr>
          <w:color w:val="000000" w:themeColor="text1"/>
          <w:lang w:val="en-US"/>
        </w:rPr>
        <w:t>IoT</w:t>
      </w:r>
      <w:proofErr w:type="spellEnd"/>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processing p</w:t>
      </w:r>
      <w:r w:rsidR="000D5E53">
        <w:rPr>
          <w:color w:val="000000" w:themeColor="text1"/>
          <w:lang w:val="en-US"/>
        </w:rPr>
        <w:t>rocedure follows that of LTE</w:t>
      </w:r>
      <w:r w:rsidRPr="00FE1F13">
        <w:rPr>
          <w:color w:val="000000" w:themeColor="text1"/>
          <w:lang w:val="en-US"/>
        </w:rPr>
        <w:t xml:space="preserve"> with revised resource mapping tail</w:t>
      </w:r>
      <w:r>
        <w:rPr>
          <w:color w:val="000000" w:themeColor="text1"/>
          <w:lang w:val="en-US"/>
        </w:rPr>
        <w:t>or</w:t>
      </w:r>
      <w:r w:rsidRPr="00FE1F13">
        <w:rPr>
          <w:color w:val="000000" w:themeColor="text1"/>
          <w:lang w:val="en-US"/>
        </w:rPr>
        <w:t xml:space="preserve">ed to 180 kHz channel. </w:t>
      </w:r>
    </w:p>
    <w:p w14:paraId="60A1D4A6" w14:textId="514CB3F2" w:rsidR="002D224A" w:rsidRPr="00FE1F13" w:rsidRDefault="00F47532" w:rsidP="002D224A">
      <w:pPr>
        <w:rPr>
          <w:color w:val="000000" w:themeColor="text1"/>
          <w:lang w:val="en-US"/>
        </w:rPr>
      </w:pPr>
      <w:bookmarkStart w:id="2" w:name="_GoBack"/>
      <w:bookmarkEnd w:id="2"/>
      <w:r>
        <w:rPr>
          <w:noProof/>
          <w:lang w:val="en-US"/>
        </w:rPr>
        <w:lastRenderedPageBreak/>
        <w:drawing>
          <wp:inline distT="0" distB="0" distL="0" distR="0" wp14:anchorId="7DB08DC1" wp14:editId="793B1D98">
            <wp:extent cx="5943600" cy="32131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213100"/>
                    </a:xfrm>
                    <a:prstGeom prst="rect">
                      <a:avLst/>
                    </a:prstGeom>
                  </pic:spPr>
                </pic:pic>
              </a:graphicData>
            </a:graphic>
          </wp:inline>
        </w:drawing>
      </w:r>
    </w:p>
    <w:p w14:paraId="3B67CB68" w14:textId="6A5BF78E" w:rsidR="002D224A" w:rsidRPr="00FE1F13" w:rsidRDefault="002D224A" w:rsidP="002D224A">
      <w:pPr>
        <w:pStyle w:val="TF"/>
        <w:rPr>
          <w:lang w:val="en-US"/>
        </w:rPr>
      </w:pPr>
      <w:bookmarkStart w:id="3" w:name="_Ref430958775"/>
      <w:r w:rsidRPr="00FE1F13">
        <w:rPr>
          <w:lang w:val="en-US"/>
        </w:rPr>
        <w:t xml:space="preserve">Figure </w:t>
      </w:r>
      <w:r w:rsidRPr="00FE1F13">
        <w:rPr>
          <w:lang w:val="en-US"/>
        </w:rPr>
        <w:fldChar w:fldCharType="begin"/>
      </w:r>
      <w:r w:rsidRPr="00FE1F13">
        <w:rPr>
          <w:lang w:val="en-US"/>
        </w:rPr>
        <w:instrText xml:space="preserve"> SEQ Figure \* ARABIC </w:instrText>
      </w:r>
      <w:r w:rsidRPr="00FE1F13">
        <w:rPr>
          <w:lang w:val="en-US"/>
        </w:rPr>
        <w:fldChar w:fldCharType="separate"/>
      </w:r>
      <w:r w:rsidR="00021FA9">
        <w:rPr>
          <w:noProof/>
          <w:lang w:val="en-US"/>
        </w:rPr>
        <w:t>1</w:t>
      </w:r>
      <w:r w:rsidRPr="00FE1F13">
        <w:rPr>
          <w:noProof/>
          <w:lang w:val="en-US"/>
        </w:rPr>
        <w:fldChar w:fldCharType="end"/>
      </w:r>
      <w:bookmarkEnd w:id="3"/>
      <w:r w:rsidRPr="00FE1F13">
        <w:rPr>
          <w:lang w:val="en-US"/>
        </w:rPr>
        <w:t xml:space="preserve">: </w:t>
      </w:r>
      <w:r w:rsidR="00321FE9">
        <w:rPr>
          <w:lang w:val="en-US"/>
        </w:rPr>
        <w:t>NB-PBCH</w:t>
      </w:r>
      <w:r w:rsidRPr="00FE1F13">
        <w:rPr>
          <w:lang w:val="en-US"/>
        </w:rPr>
        <w:t xml:space="preserve"> Structure</w:t>
      </w:r>
    </w:p>
    <w:p w14:paraId="17F32C3A" w14:textId="2CF43FF4" w:rsidR="002D224A" w:rsidRPr="00FE1F13" w:rsidRDefault="002D224A" w:rsidP="002D224A">
      <w:pPr>
        <w:rPr>
          <w:color w:val="000000" w:themeColor="text1"/>
          <w:lang w:val="en-US"/>
        </w:rPr>
      </w:pPr>
      <w:r w:rsidRPr="00FE1F13">
        <w:rPr>
          <w:color w:val="000000" w:themeColor="text1"/>
          <w:lang w:val="en-US"/>
        </w:rPr>
        <w:t>To su</w:t>
      </w:r>
      <w:r w:rsidR="00D17DF2">
        <w:rPr>
          <w:color w:val="000000" w:themeColor="text1"/>
          <w:lang w:val="en-US"/>
        </w:rPr>
        <w:t>pport in-band deployment, NB-</w:t>
      </w:r>
      <w:proofErr w:type="spellStart"/>
      <w:r w:rsidR="00D17DF2">
        <w:rPr>
          <w:color w:val="000000" w:themeColor="text1"/>
          <w:lang w:val="en-US"/>
        </w:rPr>
        <w:t>IoT</w:t>
      </w:r>
      <w:proofErr w:type="spellEnd"/>
      <w:r w:rsidRPr="00FE1F13">
        <w:rPr>
          <w:color w:val="000000" w:themeColor="text1"/>
          <w:lang w:val="en-US"/>
        </w:rPr>
        <w:t xml:space="preserve"> avoids collision with certain LTE signals as much a</w:t>
      </w:r>
      <w:r w:rsidR="003C6CD2">
        <w:rPr>
          <w:color w:val="000000" w:themeColor="text1"/>
          <w:lang w:val="en-US"/>
        </w:rPr>
        <w:t>s possible.  The proposed NB-</w:t>
      </w:r>
      <w:proofErr w:type="spellStart"/>
      <w:r w:rsidR="003C6CD2">
        <w:rPr>
          <w:color w:val="000000" w:themeColor="text1"/>
          <w:lang w:val="en-US"/>
        </w:rPr>
        <w:t>IoT</w:t>
      </w:r>
      <w:proofErr w:type="spellEnd"/>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structure is shown in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021FA9" w:rsidRPr="00FE1F13">
        <w:rPr>
          <w:lang w:val="en-US"/>
        </w:rPr>
        <w:t xml:space="preserve">Figure </w:t>
      </w:r>
      <w:r w:rsidR="00021FA9">
        <w:rPr>
          <w:noProof/>
          <w:lang w:val="en-US"/>
        </w:rPr>
        <w:t>1</w:t>
      </w:r>
      <w:r>
        <w:rPr>
          <w:color w:val="000000" w:themeColor="text1"/>
          <w:lang w:val="en-US"/>
        </w:rPr>
        <w:fldChar w:fldCharType="end"/>
      </w:r>
      <w:r>
        <w:rPr>
          <w:color w:val="000000" w:themeColor="text1"/>
          <w:lang w:val="en-US"/>
        </w:rPr>
        <w:t xml:space="preserve">. </w:t>
      </w:r>
      <w:r w:rsidRPr="00FE1F13">
        <w:rPr>
          <w:color w:val="000000" w:themeColor="text1"/>
          <w:lang w:val="en-US"/>
        </w:rPr>
        <w:t xml:space="preserve">The </w:t>
      </w:r>
      <w:r w:rsidR="00321FE9">
        <w:rPr>
          <w:color w:val="000000" w:themeColor="text1"/>
          <w:lang w:val="en-US"/>
        </w:rPr>
        <w:t>NB-PBCH</w:t>
      </w:r>
      <w:r w:rsidRPr="00FE1F13">
        <w:rPr>
          <w:color w:val="000000" w:themeColor="text1"/>
          <w:lang w:val="en-US"/>
        </w:rPr>
        <w:t xml:space="preserve"> transmission time interval (TTI) is 640 </w:t>
      </w:r>
      <w:proofErr w:type="spellStart"/>
      <w:r w:rsidRPr="00FE1F13">
        <w:rPr>
          <w:color w:val="000000" w:themeColor="text1"/>
          <w:lang w:val="en-US"/>
        </w:rPr>
        <w:t>ms</w:t>
      </w:r>
      <w:proofErr w:type="spellEnd"/>
      <w:r w:rsidRPr="00FE1F13">
        <w:rPr>
          <w:color w:val="000000" w:themeColor="text1"/>
          <w:lang w:val="en-US"/>
        </w:rPr>
        <w:t xml:space="preserve">, and the transmissions occur in </w:t>
      </w:r>
      <w:proofErr w:type="spellStart"/>
      <w:r w:rsidRPr="00FE1F13">
        <w:rPr>
          <w:color w:val="000000" w:themeColor="text1"/>
          <w:lang w:val="en-US"/>
        </w:rPr>
        <w:t>subframe</w:t>
      </w:r>
      <w:proofErr w:type="spellEnd"/>
      <w:r w:rsidRPr="00FE1F13">
        <w:rPr>
          <w:color w:val="000000" w:themeColor="text1"/>
          <w:lang w:val="en-US"/>
        </w:rPr>
        <w:t xml:space="preserve"> 0 in each LTE frame. In </w:t>
      </w:r>
      <w:proofErr w:type="spellStart"/>
      <w:r w:rsidRPr="00FE1F13">
        <w:rPr>
          <w:color w:val="000000" w:themeColor="text1"/>
          <w:lang w:val="en-US"/>
        </w:rPr>
        <w:t>subframe</w:t>
      </w:r>
      <w:proofErr w:type="spellEnd"/>
      <w:r w:rsidRPr="00FE1F13">
        <w:rPr>
          <w:color w:val="000000" w:themeColor="text1"/>
          <w:lang w:val="en-US"/>
        </w:rPr>
        <w:t xml:space="preserve"> 0, </w:t>
      </w:r>
      <w:r w:rsidR="00321FE9">
        <w:rPr>
          <w:color w:val="000000" w:themeColor="text1"/>
          <w:lang w:val="en-US"/>
        </w:rPr>
        <w:t>NB-PBCH</w:t>
      </w:r>
      <w:r w:rsidRPr="00FE1F13">
        <w:rPr>
          <w:color w:val="000000" w:themeColor="text1"/>
          <w:lang w:val="en-US"/>
        </w:rPr>
        <w:t xml:space="preserve"> occupies </w:t>
      </w:r>
      <w:r w:rsidR="00A178E7">
        <w:rPr>
          <w:color w:val="000000" w:themeColor="text1"/>
          <w:lang w:val="en-US"/>
        </w:rPr>
        <w:t>all the</w:t>
      </w:r>
      <w:r w:rsidRPr="00FE1F13">
        <w:rPr>
          <w:color w:val="000000" w:themeColor="text1"/>
          <w:lang w:val="en-US"/>
        </w:rPr>
        <w:t xml:space="preserve"> OFDM symbols</w:t>
      </w:r>
      <w:r w:rsidR="00A178E7">
        <w:rPr>
          <w:color w:val="000000" w:themeColor="text1"/>
          <w:lang w:val="en-US"/>
        </w:rPr>
        <w:t xml:space="preserve"> except for the first 3 OFDM symbols</w:t>
      </w:r>
      <w:r>
        <w:rPr>
          <w:color w:val="000000" w:themeColor="text1"/>
          <w:lang w:val="en-US"/>
        </w:rPr>
        <w:t>.</w:t>
      </w:r>
      <w:r w:rsidRPr="00FE1F13">
        <w:rPr>
          <w:color w:val="000000" w:themeColor="text1"/>
          <w:lang w:val="en-US"/>
        </w:rPr>
        <w:t xml:space="preserve"> </w:t>
      </w:r>
    </w:p>
    <w:p w14:paraId="66F45F92" w14:textId="6E8D9695" w:rsidR="002D224A" w:rsidRPr="00FE1F13" w:rsidRDefault="003C6CD2" w:rsidP="002D224A">
      <w:pPr>
        <w:rPr>
          <w:color w:val="000000" w:themeColor="text1"/>
          <w:lang w:val="en-US"/>
        </w:rPr>
      </w:pPr>
      <w:r>
        <w:rPr>
          <w:color w:val="000000" w:themeColor="text1"/>
          <w:lang w:val="en-US"/>
        </w:rPr>
        <w:t>The NB-</w:t>
      </w:r>
      <w:proofErr w:type="spellStart"/>
      <w:r>
        <w:rPr>
          <w:color w:val="000000" w:themeColor="text1"/>
          <w:lang w:val="en-US"/>
        </w:rPr>
        <w:t>IoT</w:t>
      </w:r>
      <w:proofErr w:type="spellEnd"/>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structure has taken into account the following in-band deployment constraints.</w:t>
      </w:r>
    </w:p>
    <w:p w14:paraId="48034E36" w14:textId="70170940" w:rsidR="002D224A" w:rsidRPr="00FE1F13" w:rsidRDefault="00AD7C70"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uses </w:t>
      </w:r>
      <w:proofErr w:type="spellStart"/>
      <w:r w:rsidR="002D224A" w:rsidRPr="00FE1F13">
        <w:rPr>
          <w:color w:val="000000" w:themeColor="text1"/>
          <w:lang w:val="en-US"/>
        </w:rPr>
        <w:t>subframe</w:t>
      </w:r>
      <w:proofErr w:type="spellEnd"/>
      <w:r w:rsidR="002D224A" w:rsidRPr="00FE1F13">
        <w:rPr>
          <w:color w:val="000000" w:themeColor="text1"/>
          <w:lang w:val="en-US"/>
        </w:rPr>
        <w:t xml:space="preserve"> 0, avoiding collision with LTE MBSFN that may occur in </w:t>
      </w:r>
      <w:proofErr w:type="spellStart"/>
      <w:r w:rsidR="002D224A" w:rsidRPr="00FE1F13">
        <w:rPr>
          <w:color w:val="000000" w:themeColor="text1"/>
          <w:lang w:val="en-US"/>
        </w:rPr>
        <w:t>subframes</w:t>
      </w:r>
      <w:proofErr w:type="spellEnd"/>
      <w:r w:rsidR="002D224A" w:rsidRPr="00FE1F13">
        <w:rPr>
          <w:color w:val="000000" w:themeColor="text1"/>
          <w:lang w:val="en-US"/>
        </w:rPr>
        <w:t xml:space="preserve"> 1, 2, 3, 6, 7,</w:t>
      </w:r>
      <w:r w:rsidR="002D224A">
        <w:rPr>
          <w:color w:val="000000" w:themeColor="text1"/>
          <w:lang w:val="en-US"/>
        </w:rPr>
        <w:t xml:space="preserve"> and </w:t>
      </w:r>
      <w:r w:rsidR="002D224A" w:rsidRPr="00FE1F13">
        <w:rPr>
          <w:color w:val="000000" w:themeColor="text1"/>
          <w:lang w:val="en-US"/>
        </w:rPr>
        <w:t>8.</w:t>
      </w:r>
    </w:p>
    <w:p w14:paraId="3CE46BB3" w14:textId="04F15CEA" w:rsidR="002D224A" w:rsidRPr="00FE1F13" w:rsidRDefault="003A2655" w:rsidP="002D224A">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002D224A" w:rsidRPr="00FE1F13">
        <w:rPr>
          <w:color w:val="000000" w:themeColor="text1"/>
          <w:lang w:val="en-US"/>
        </w:rPr>
        <w:t xml:space="preserve"> </w:t>
      </w:r>
      <w:r w:rsidR="00321FE9">
        <w:rPr>
          <w:color w:val="000000" w:themeColor="text1"/>
          <w:lang w:val="en-US"/>
        </w:rPr>
        <w:t>NB-PBCH</w:t>
      </w:r>
      <w:r w:rsidR="002D224A" w:rsidRPr="00FE1F13">
        <w:rPr>
          <w:color w:val="000000" w:themeColor="text1"/>
          <w:lang w:val="en-US"/>
        </w:rPr>
        <w:t xml:space="preserve"> symbols avoid collision with LTE PCFICH, PHICH, and PDCCH that may use up to the first 3 OFDM symbols in a </w:t>
      </w:r>
      <w:proofErr w:type="spellStart"/>
      <w:r w:rsidR="002D224A" w:rsidRPr="00FE1F13">
        <w:rPr>
          <w:color w:val="000000" w:themeColor="text1"/>
          <w:lang w:val="en-US"/>
        </w:rPr>
        <w:t>subframe</w:t>
      </w:r>
      <w:proofErr w:type="spellEnd"/>
      <w:r w:rsidR="002D224A" w:rsidRPr="00FE1F13">
        <w:rPr>
          <w:color w:val="000000" w:themeColor="text1"/>
          <w:lang w:val="en-US"/>
        </w:rPr>
        <w:t xml:space="preserve"> (for &gt;1.4 MHz LTE bandwidth).</w:t>
      </w:r>
    </w:p>
    <w:p w14:paraId="22048533" w14:textId="22066E73" w:rsidR="002D224A" w:rsidRDefault="002D224A" w:rsidP="002D224A">
      <w:pPr>
        <w:pStyle w:val="ListParagraph"/>
        <w:numPr>
          <w:ilvl w:val="0"/>
          <w:numId w:val="42"/>
        </w:numPr>
        <w:overflowPunct/>
        <w:autoSpaceDE/>
        <w:autoSpaceDN/>
        <w:adjustRightInd/>
        <w:spacing w:before="150" w:after="150" w:line="276" w:lineRule="auto"/>
        <w:ind w:right="300"/>
        <w:jc w:val="left"/>
        <w:textAlignment w:val="auto"/>
        <w:rPr>
          <w:color w:val="000000" w:themeColor="text1"/>
          <w:lang w:val="en-US"/>
        </w:rPr>
      </w:pPr>
      <w:r w:rsidRPr="00FE1F13">
        <w:rPr>
          <w:color w:val="000000" w:themeColor="text1"/>
          <w:lang w:val="en-US"/>
        </w:rPr>
        <w:t xml:space="preserve">After cell search, NB-LTE UE does not know the LTE CRS values (though it can derive their positions from cell ID obtained in cell search). To enable channel estimation and coherent demodulation of </w:t>
      </w:r>
      <w:r w:rsidR="00321FE9">
        <w:rPr>
          <w:color w:val="000000" w:themeColor="text1"/>
          <w:lang w:val="en-US"/>
        </w:rPr>
        <w:t>NB-PBCH</w:t>
      </w:r>
      <w:r w:rsidR="001D443B">
        <w:rPr>
          <w:color w:val="000000" w:themeColor="text1"/>
          <w:lang w:val="en-US"/>
        </w:rPr>
        <w:t>, additional NB-</w:t>
      </w:r>
      <w:proofErr w:type="spellStart"/>
      <w:r w:rsidR="001D443B">
        <w:rPr>
          <w:color w:val="000000" w:themeColor="text1"/>
          <w:lang w:val="en-US"/>
        </w:rPr>
        <w:t>IoT</w:t>
      </w:r>
      <w:proofErr w:type="spellEnd"/>
      <w:r w:rsidRPr="00FE1F13">
        <w:rPr>
          <w:color w:val="000000" w:themeColor="text1"/>
          <w:lang w:val="en-US"/>
        </w:rPr>
        <w:t xml:space="preserve"> CRS</w:t>
      </w:r>
      <w:r>
        <w:rPr>
          <w:color w:val="000000" w:themeColor="text1"/>
          <w:lang w:val="en-US"/>
        </w:rPr>
        <w:t>s</w:t>
      </w:r>
      <w:r w:rsidRPr="00FE1F13">
        <w:rPr>
          <w:color w:val="000000" w:themeColor="text1"/>
          <w:lang w:val="en-US"/>
        </w:rPr>
        <w:t xml:space="preserve"> </w:t>
      </w:r>
      <w:r>
        <w:rPr>
          <w:color w:val="000000" w:themeColor="text1"/>
          <w:lang w:val="en-US"/>
        </w:rPr>
        <w:t>are</w:t>
      </w:r>
      <w:r w:rsidRPr="00FE1F13">
        <w:rPr>
          <w:color w:val="000000" w:themeColor="text1"/>
          <w:lang w:val="en-US"/>
        </w:rPr>
        <w:t xml:space="preserve"> defined within the PRBs used for </w:t>
      </w:r>
      <w:r w:rsidR="00321FE9">
        <w:rPr>
          <w:color w:val="000000" w:themeColor="text1"/>
          <w:lang w:val="en-US"/>
        </w:rPr>
        <w:t>NB-PBCH</w:t>
      </w:r>
      <w:r w:rsidRPr="00FE1F13">
        <w:rPr>
          <w:color w:val="000000" w:themeColor="text1"/>
          <w:lang w:val="en-US"/>
        </w:rPr>
        <w:t xml:space="preserve">, </w:t>
      </w:r>
      <w:r w:rsidR="00B91C42">
        <w:rPr>
          <w:color w:val="000000" w:themeColor="text1"/>
          <w:lang w:val="en-US"/>
        </w:rPr>
        <w:t>i.e., the NB-</w:t>
      </w:r>
      <w:proofErr w:type="spellStart"/>
      <w:r w:rsidR="00B91C42">
        <w:rPr>
          <w:color w:val="000000" w:themeColor="text1"/>
          <w:lang w:val="en-US"/>
        </w:rPr>
        <w:t>IoT</w:t>
      </w:r>
      <w:proofErr w:type="spellEnd"/>
      <w:r w:rsidRPr="008F3364">
        <w:rPr>
          <w:color w:val="000000" w:themeColor="text1"/>
          <w:lang w:val="en-US"/>
        </w:rPr>
        <w:t xml:space="preserve"> CRS</w:t>
      </w:r>
      <w:r>
        <w:rPr>
          <w:color w:val="000000" w:themeColor="text1"/>
          <w:lang w:val="en-US"/>
        </w:rPr>
        <w:t xml:space="preserve">s, </w:t>
      </w:r>
      <w:r w:rsidRPr="00FE1F13">
        <w:rPr>
          <w:color w:val="000000" w:themeColor="text1"/>
          <w:lang w:val="en-US"/>
        </w:rPr>
        <w:t>as shown in</w:t>
      </w:r>
      <w:r>
        <w:rPr>
          <w:color w:val="000000" w:themeColor="text1"/>
          <w:lang w:val="en-US"/>
        </w:rPr>
        <w:t xml:space="preserve"> </w:t>
      </w:r>
      <w:r>
        <w:rPr>
          <w:color w:val="000000" w:themeColor="text1"/>
          <w:lang w:val="en-US"/>
        </w:rPr>
        <w:fldChar w:fldCharType="begin"/>
      </w:r>
      <w:r>
        <w:rPr>
          <w:color w:val="000000" w:themeColor="text1"/>
          <w:lang w:val="en-US"/>
        </w:rPr>
        <w:instrText xml:space="preserve"> REF _Ref430958775 \h </w:instrText>
      </w:r>
      <w:r>
        <w:rPr>
          <w:color w:val="000000" w:themeColor="text1"/>
          <w:lang w:val="en-US"/>
        </w:rPr>
      </w:r>
      <w:r>
        <w:rPr>
          <w:color w:val="000000" w:themeColor="text1"/>
          <w:lang w:val="en-US"/>
        </w:rPr>
        <w:fldChar w:fldCharType="separate"/>
      </w:r>
      <w:r w:rsidR="00021FA9" w:rsidRPr="00FE1F13">
        <w:rPr>
          <w:lang w:val="en-US"/>
        </w:rPr>
        <w:t xml:space="preserve">Figure </w:t>
      </w:r>
      <w:r w:rsidR="00021FA9">
        <w:rPr>
          <w:noProof/>
          <w:lang w:val="en-US"/>
        </w:rPr>
        <w:t>1</w:t>
      </w:r>
      <w:r>
        <w:rPr>
          <w:color w:val="000000" w:themeColor="text1"/>
          <w:lang w:val="en-US"/>
        </w:rPr>
        <w:fldChar w:fldCharType="end"/>
      </w:r>
      <w:r w:rsidRPr="00FE1F13">
        <w:rPr>
          <w:color w:val="000000" w:themeColor="text1"/>
          <w:lang w:val="en-US"/>
        </w:rPr>
        <w:t xml:space="preserve">.  </w:t>
      </w:r>
    </w:p>
    <w:p w14:paraId="21386418" w14:textId="6FD51338" w:rsidR="008F6A0D" w:rsidRPr="008F6A0D" w:rsidRDefault="008F6A0D" w:rsidP="008F6A0D">
      <w:pPr>
        <w:pStyle w:val="ListParagraph"/>
        <w:numPr>
          <w:ilvl w:val="0"/>
          <w:numId w:val="42"/>
        </w:numPr>
        <w:overflowPunct/>
        <w:autoSpaceDE/>
        <w:autoSpaceDN/>
        <w:adjustRightInd/>
        <w:spacing w:after="200" w:line="276" w:lineRule="auto"/>
        <w:jc w:val="left"/>
        <w:textAlignment w:val="auto"/>
        <w:rPr>
          <w:color w:val="000000" w:themeColor="text1"/>
          <w:lang w:val="en-US"/>
        </w:rPr>
      </w:pPr>
      <w:r>
        <w:rPr>
          <w:color w:val="000000" w:themeColor="text1"/>
          <w:lang w:val="en-US"/>
        </w:rPr>
        <w:t>NB-</w:t>
      </w:r>
      <w:proofErr w:type="spellStart"/>
      <w:r>
        <w:rPr>
          <w:color w:val="000000" w:themeColor="text1"/>
          <w:lang w:val="en-US"/>
        </w:rPr>
        <w:t>IoT</w:t>
      </w:r>
      <w:proofErr w:type="spellEnd"/>
      <w:r w:rsidRPr="00FE1F13">
        <w:rPr>
          <w:color w:val="000000" w:themeColor="text1"/>
          <w:lang w:val="en-US"/>
        </w:rPr>
        <w:t xml:space="preserve"> </w:t>
      </w:r>
      <w:r w:rsidR="00321FE9">
        <w:rPr>
          <w:color w:val="000000" w:themeColor="text1"/>
          <w:lang w:val="en-US"/>
        </w:rPr>
        <w:t>NB-PBCH</w:t>
      </w:r>
      <w:r w:rsidRPr="00FE1F13">
        <w:rPr>
          <w:color w:val="000000" w:themeColor="text1"/>
          <w:lang w:val="en-US"/>
        </w:rPr>
        <w:t xml:space="preserve"> symbols avoid collision with all LTE CRS (up to 4 antenna ports).</w:t>
      </w:r>
      <w:r>
        <w:rPr>
          <w:color w:val="000000" w:themeColor="text1"/>
          <w:lang w:val="en-US"/>
        </w:rPr>
        <w:t xml:space="preserve"> As noted above, </w:t>
      </w:r>
      <w:r>
        <w:rPr>
          <w:color w:val="000000"/>
        </w:rPr>
        <w:t>after cell search, the LTE CRS positions are known to the UE, though the exact values are not known. Therefore, it is all right to use the unoccupied LTE CRS REs in the cell for NB-</w:t>
      </w:r>
      <w:proofErr w:type="spellStart"/>
      <w:r>
        <w:rPr>
          <w:color w:val="000000"/>
        </w:rPr>
        <w:t>IoT</w:t>
      </w:r>
      <w:proofErr w:type="spellEnd"/>
      <w:r>
        <w:rPr>
          <w:color w:val="000000"/>
        </w:rPr>
        <w:t xml:space="preserve"> PBCH transmission.</w:t>
      </w:r>
    </w:p>
    <w:p w14:paraId="278B2185" w14:textId="1F91B99E" w:rsidR="00D168A9" w:rsidRPr="00D168A9" w:rsidRDefault="002D224A" w:rsidP="00BA3FBD">
      <w:pPr>
        <w:rPr>
          <w:lang w:val="en-US"/>
        </w:rPr>
      </w:pPr>
      <w:r>
        <w:rPr>
          <w:lang w:val="en-US"/>
        </w:rPr>
        <w:t xml:space="preserve">With the 640 </w:t>
      </w:r>
      <w:proofErr w:type="spellStart"/>
      <w:r>
        <w:rPr>
          <w:lang w:val="en-US"/>
        </w:rPr>
        <w:t>ms</w:t>
      </w:r>
      <w:proofErr w:type="spellEnd"/>
      <w:r>
        <w:rPr>
          <w:lang w:val="en-US"/>
        </w:rPr>
        <w:t xml:space="preserve"> TTI, there are 8 blocks of </w:t>
      </w:r>
      <w:r w:rsidR="00321FE9">
        <w:rPr>
          <w:lang w:val="en-US"/>
        </w:rPr>
        <w:t>NB-PBCH</w:t>
      </w:r>
      <w:r>
        <w:rPr>
          <w:lang w:val="en-US"/>
        </w:rPr>
        <w:t xml:space="preserve">. Each block is masked with a unique scrambling code. Thus, the UE has to attempt decoding by up to 8 times. After a successful </w:t>
      </w:r>
      <w:r w:rsidR="00321FE9">
        <w:rPr>
          <w:lang w:val="en-US"/>
        </w:rPr>
        <w:t>NB-PBCH</w:t>
      </w:r>
      <w:r>
        <w:rPr>
          <w:lang w:val="en-US"/>
        </w:rPr>
        <w:t xml:space="preserve"> decoding, the UE acquires the timing information within the 640 </w:t>
      </w:r>
      <w:proofErr w:type="spellStart"/>
      <w:r>
        <w:rPr>
          <w:lang w:val="en-US"/>
        </w:rPr>
        <w:t>ms</w:t>
      </w:r>
      <w:proofErr w:type="spellEnd"/>
      <w:r>
        <w:rPr>
          <w:lang w:val="en-US"/>
        </w:rPr>
        <w:t xml:space="preserve"> TTI of </w:t>
      </w:r>
      <w:r w:rsidR="00321FE9">
        <w:rPr>
          <w:lang w:val="en-US"/>
        </w:rPr>
        <w:t>NB-PBCH</w:t>
      </w:r>
      <w:r>
        <w:rPr>
          <w:lang w:val="en-US"/>
        </w:rPr>
        <w:t xml:space="preserve">. This means that the 6 least significant bits (LSB) of the </w:t>
      </w:r>
      <w:r w:rsidRPr="00C07822">
        <w:rPr>
          <w:lang w:val="en-US"/>
        </w:rPr>
        <w:t>SFN need not be included</w:t>
      </w:r>
      <w:r>
        <w:rPr>
          <w:lang w:val="en-US"/>
        </w:rPr>
        <w:t xml:space="preserve"> in the system information block.</w:t>
      </w:r>
    </w:p>
    <w:p w14:paraId="71B02A7A" w14:textId="69BFCC13" w:rsidR="00D34AF3" w:rsidRPr="00E74B59" w:rsidRDefault="007033F0" w:rsidP="00BA3FBD">
      <w:r>
        <w:t xml:space="preserve">The complexity of PBCH blind decoding is considered to be acceptable. In each 80 </w:t>
      </w:r>
      <w:proofErr w:type="spellStart"/>
      <w:r>
        <w:t>ms</w:t>
      </w:r>
      <w:proofErr w:type="spellEnd"/>
      <w:r>
        <w:t xml:space="preserve"> window, 16 (2 hypotheses for antenna configurations and 8 hypotheses for the 8 different scrambling codes) decoding attempts are needed. Therefore, for a NB-</w:t>
      </w:r>
      <w:proofErr w:type="spellStart"/>
      <w:r>
        <w:t>IoT</w:t>
      </w:r>
      <w:proofErr w:type="spellEnd"/>
      <w:r>
        <w:t xml:space="preserve"> device, on average it performs one decoding attempt per 5 </w:t>
      </w:r>
      <w:proofErr w:type="spellStart"/>
      <w:proofErr w:type="gramStart"/>
      <w:r>
        <w:t>ms</w:t>
      </w:r>
      <w:proofErr w:type="spellEnd"/>
      <w:proofErr w:type="gramEnd"/>
      <w:r>
        <w:t>. And this PBCH decoding is likely to be the main (and possibly only) task that the NB-</w:t>
      </w:r>
      <w:proofErr w:type="spellStart"/>
      <w:r>
        <w:t>IoT</w:t>
      </w:r>
      <w:proofErr w:type="spellEnd"/>
      <w:r>
        <w:t xml:space="preserve"> device is performing at this stage. </w:t>
      </w:r>
      <w:r w:rsidRPr="00876E44">
        <w:t xml:space="preserve">This </w:t>
      </w:r>
      <w:r>
        <w:t>complexity is much lower than for example</w:t>
      </w:r>
      <w:r w:rsidR="00AF21D0">
        <w:t xml:space="preserve"> the complexity of </w:t>
      </w:r>
      <w:r>
        <w:t xml:space="preserve">LTE PDCCH blind decoding, which requires tens of blind decoding attempts per 1 </w:t>
      </w:r>
      <w:proofErr w:type="spellStart"/>
      <w:r>
        <w:t>ms</w:t>
      </w:r>
      <w:proofErr w:type="spellEnd"/>
      <w:r>
        <w:t>. Depending on NB-PDCCH design, the blind decoding complexity of PBCH is likely to be less than that of NB-PDCCH. As far as memory is concerned, the NB-</w:t>
      </w:r>
      <w:proofErr w:type="spellStart"/>
      <w:r>
        <w:t>IoT</w:t>
      </w:r>
      <w:proofErr w:type="spellEnd"/>
      <w:r>
        <w:t xml:space="preserve"> device may separately process (channel estimation and equalization) each code sub-block and thus needs to buffer 8 </w:t>
      </w:r>
      <w:proofErr w:type="spellStart"/>
      <w:r>
        <w:t>subframes</w:t>
      </w:r>
      <w:proofErr w:type="spellEnd"/>
      <w:r>
        <w:t xml:space="preserve">. This memory requirement is much less than that of </w:t>
      </w:r>
      <w:r w:rsidR="00AF21D0">
        <w:t>NB-</w:t>
      </w:r>
      <w:r>
        <w:t xml:space="preserve">PSS processing in cell search and will not be the bottleneck.  </w:t>
      </w:r>
    </w:p>
    <w:p w14:paraId="42B2074A" w14:textId="3991630A" w:rsidR="00BA3FBD" w:rsidRPr="00E330BC" w:rsidRDefault="00BA3FBD" w:rsidP="00BA3FBD">
      <w:pPr>
        <w:pStyle w:val="Heading1"/>
        <w:numPr>
          <w:ilvl w:val="0"/>
          <w:numId w:val="9"/>
        </w:numPr>
      </w:pPr>
      <w:r>
        <w:lastRenderedPageBreak/>
        <w:t>Performance Evaluation</w:t>
      </w:r>
    </w:p>
    <w:p w14:paraId="277D8882" w14:textId="5BA3281F" w:rsidR="000C42DB" w:rsidRDefault="000C42DB" w:rsidP="000C42DB">
      <w:pPr>
        <w:pStyle w:val="BodyText"/>
      </w:pPr>
      <w:r>
        <w:t>In this section, simulation results are presented to evaluate NB-</w:t>
      </w:r>
      <w:proofErr w:type="spellStart"/>
      <w:r>
        <w:t>IoT</w:t>
      </w:r>
      <w:proofErr w:type="spellEnd"/>
      <w:r>
        <w:t xml:space="preserve"> </w:t>
      </w:r>
      <w:r w:rsidR="00321FE9">
        <w:t>NB-PBCH</w:t>
      </w:r>
      <w:r>
        <w:t xml:space="preserve"> coverage performance. The simulation assumptions used are based on the ones outlined in</w:t>
      </w:r>
      <w:r w:rsidR="002B22BB">
        <w:t xml:space="preserve"> </w:t>
      </w:r>
      <w:r w:rsidR="002B22BB">
        <w:fldChar w:fldCharType="begin"/>
      </w:r>
      <w:r w:rsidR="002B22BB">
        <w:instrText xml:space="preserve"> REF _Ref434586752 \r \h </w:instrText>
      </w:r>
      <w:r w:rsidR="002B22BB">
        <w:fldChar w:fldCharType="separate"/>
      </w:r>
      <w:r w:rsidR="00021FA9">
        <w:t>[4]</w:t>
      </w:r>
      <w:r w:rsidR="002B22BB">
        <w:fldChar w:fldCharType="end"/>
      </w:r>
      <w:r>
        <w:t xml:space="preserve">, and are summarized in </w:t>
      </w:r>
      <w:r>
        <w:fldChar w:fldCharType="begin"/>
      </w:r>
      <w:r>
        <w:instrText xml:space="preserve"> REF _Ref425174722 \h </w:instrText>
      </w:r>
      <w:r>
        <w:fldChar w:fldCharType="separate"/>
      </w:r>
      <w:r w:rsidR="00021FA9">
        <w:t xml:space="preserve">Table </w:t>
      </w:r>
      <w:r w:rsidR="00021FA9">
        <w:rPr>
          <w:noProof/>
        </w:rPr>
        <w:t>1</w:t>
      </w:r>
      <w:r>
        <w:fldChar w:fldCharType="end"/>
      </w:r>
      <w:r>
        <w:t>.</w:t>
      </w:r>
      <w:r w:rsidR="00BE2681">
        <w:t xml:space="preserve"> It is assumed that a MIB has 34 bit and 16-bit CRC is attached.</w:t>
      </w:r>
    </w:p>
    <w:p w14:paraId="15EAAFE2" w14:textId="77777777" w:rsidR="000C42DB" w:rsidRDefault="000C42DB" w:rsidP="000C42DB">
      <w:pPr>
        <w:pStyle w:val="Caption"/>
      </w:pPr>
      <w:bookmarkStart w:id="4" w:name="_Ref425174722"/>
      <w:r>
        <w:t xml:space="preserve">Table </w:t>
      </w:r>
      <w:r>
        <w:fldChar w:fldCharType="begin"/>
      </w:r>
      <w:r>
        <w:instrText xml:space="preserve"> SEQ Table \* ARABIC </w:instrText>
      </w:r>
      <w:r>
        <w:fldChar w:fldCharType="separate"/>
      </w:r>
      <w:r w:rsidR="00021FA9">
        <w:rPr>
          <w:noProof/>
        </w:rPr>
        <w:t>1</w:t>
      </w:r>
      <w:r>
        <w:rPr>
          <w:noProof/>
        </w:rPr>
        <w:fldChar w:fldCharType="end"/>
      </w:r>
      <w:bookmarkEnd w:id="4"/>
      <w:r>
        <w:t>: Simulation parameters</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2817"/>
      </w:tblGrid>
      <w:tr w:rsidR="004109E5" w:rsidRPr="009F18E1" w14:paraId="4754071E" w14:textId="77777777" w:rsidTr="004C268A">
        <w:trPr>
          <w:jc w:val="center"/>
        </w:trPr>
        <w:tc>
          <w:tcPr>
            <w:tcW w:w="2286" w:type="dxa"/>
            <w:shd w:val="clear" w:color="auto" w:fill="DAEEF3" w:themeFill="accent5" w:themeFillTint="33"/>
          </w:tcPr>
          <w:p w14:paraId="1E83F1A8" w14:textId="77777777" w:rsidR="004109E5" w:rsidRPr="009F18E1" w:rsidRDefault="004109E5" w:rsidP="004C268A">
            <w:pPr>
              <w:pStyle w:val="TAH"/>
            </w:pPr>
            <w:r w:rsidRPr="009F18E1">
              <w:t>Parameter</w:t>
            </w:r>
          </w:p>
        </w:tc>
        <w:tc>
          <w:tcPr>
            <w:tcW w:w="2817" w:type="dxa"/>
            <w:shd w:val="clear" w:color="auto" w:fill="DAEEF3" w:themeFill="accent5" w:themeFillTint="33"/>
          </w:tcPr>
          <w:p w14:paraId="46DA7F57" w14:textId="77777777" w:rsidR="004109E5" w:rsidRPr="009F18E1" w:rsidRDefault="004109E5" w:rsidP="004C268A">
            <w:pPr>
              <w:pStyle w:val="TAH"/>
            </w:pPr>
            <w:r w:rsidRPr="009F18E1">
              <w:t>Value</w:t>
            </w:r>
          </w:p>
        </w:tc>
      </w:tr>
      <w:tr w:rsidR="004109E5" w:rsidRPr="009F18E1" w14:paraId="257F3DA7" w14:textId="77777777" w:rsidTr="004C268A">
        <w:trPr>
          <w:jc w:val="center"/>
        </w:trPr>
        <w:tc>
          <w:tcPr>
            <w:tcW w:w="2286" w:type="dxa"/>
            <w:shd w:val="clear" w:color="auto" w:fill="auto"/>
          </w:tcPr>
          <w:p w14:paraId="7DA1F3EB" w14:textId="77777777" w:rsidR="004109E5" w:rsidRPr="009F18E1" w:rsidRDefault="004109E5" w:rsidP="004C268A">
            <w:pPr>
              <w:pStyle w:val="TAC"/>
            </w:pPr>
            <w:r w:rsidRPr="009F18E1">
              <w:t>Channel model</w:t>
            </w:r>
          </w:p>
        </w:tc>
        <w:tc>
          <w:tcPr>
            <w:tcW w:w="2817" w:type="dxa"/>
            <w:shd w:val="clear" w:color="auto" w:fill="auto"/>
          </w:tcPr>
          <w:p w14:paraId="49177F66" w14:textId="77777777" w:rsidR="004109E5" w:rsidRPr="009F18E1" w:rsidRDefault="004109E5" w:rsidP="004C268A">
            <w:pPr>
              <w:pStyle w:val="TAC"/>
            </w:pPr>
            <w:r w:rsidRPr="009F18E1">
              <w:t>TU</w:t>
            </w:r>
          </w:p>
        </w:tc>
      </w:tr>
      <w:tr w:rsidR="004109E5" w:rsidRPr="009F18E1" w14:paraId="6D390AC4" w14:textId="77777777" w:rsidTr="004C268A">
        <w:trPr>
          <w:jc w:val="center"/>
        </w:trPr>
        <w:tc>
          <w:tcPr>
            <w:tcW w:w="2286" w:type="dxa"/>
            <w:shd w:val="clear" w:color="auto" w:fill="auto"/>
          </w:tcPr>
          <w:p w14:paraId="1D6D0217" w14:textId="77777777" w:rsidR="004109E5" w:rsidRPr="009F18E1" w:rsidRDefault="004109E5" w:rsidP="004C268A">
            <w:pPr>
              <w:pStyle w:val="TAC"/>
            </w:pPr>
            <w:r w:rsidRPr="009F18E1">
              <w:t>Doppler spread</w:t>
            </w:r>
          </w:p>
        </w:tc>
        <w:tc>
          <w:tcPr>
            <w:tcW w:w="2817" w:type="dxa"/>
            <w:shd w:val="clear" w:color="auto" w:fill="auto"/>
          </w:tcPr>
          <w:p w14:paraId="79F5FEB3" w14:textId="77777777" w:rsidR="004109E5" w:rsidRPr="009F18E1" w:rsidRDefault="004109E5" w:rsidP="004C268A">
            <w:pPr>
              <w:pStyle w:val="TAC"/>
            </w:pPr>
            <w:r w:rsidRPr="009F18E1">
              <w:t>1 Hz</w:t>
            </w:r>
          </w:p>
        </w:tc>
      </w:tr>
      <w:tr w:rsidR="004109E5" w:rsidRPr="009F18E1" w14:paraId="271C3A7E" w14:textId="77777777" w:rsidTr="004C268A">
        <w:trPr>
          <w:jc w:val="center"/>
        </w:trPr>
        <w:tc>
          <w:tcPr>
            <w:tcW w:w="2286" w:type="dxa"/>
            <w:shd w:val="clear" w:color="auto" w:fill="auto"/>
          </w:tcPr>
          <w:p w14:paraId="405EF711" w14:textId="77777777" w:rsidR="004109E5" w:rsidRPr="009F18E1" w:rsidRDefault="004109E5" w:rsidP="004C268A">
            <w:pPr>
              <w:pStyle w:val="TAC"/>
            </w:pPr>
            <w:r w:rsidRPr="009F18E1">
              <w:t>Antenna configuration</w:t>
            </w:r>
          </w:p>
        </w:tc>
        <w:tc>
          <w:tcPr>
            <w:tcW w:w="2817" w:type="dxa"/>
            <w:shd w:val="clear" w:color="auto" w:fill="auto"/>
          </w:tcPr>
          <w:p w14:paraId="16391661" w14:textId="697C1401" w:rsidR="004109E5" w:rsidRPr="009F18E1" w:rsidRDefault="004109E5" w:rsidP="004C268A">
            <w:pPr>
              <w:pStyle w:val="TAC"/>
            </w:pPr>
            <w:r>
              <w:t>2</w:t>
            </w:r>
            <w:r w:rsidRPr="009F18E1">
              <w:t xml:space="preserve"> </w:t>
            </w:r>
            <w:proofErr w:type="spellStart"/>
            <w:r w:rsidRPr="009F18E1">
              <w:t>Tx</w:t>
            </w:r>
            <w:proofErr w:type="spellEnd"/>
            <w:r w:rsidRPr="009F18E1">
              <w:t>; 1 Rx</w:t>
            </w:r>
          </w:p>
        </w:tc>
      </w:tr>
      <w:tr w:rsidR="004109E5" w:rsidRPr="009F18E1" w14:paraId="16896892" w14:textId="77777777" w:rsidTr="004C268A">
        <w:trPr>
          <w:jc w:val="center"/>
        </w:trPr>
        <w:tc>
          <w:tcPr>
            <w:tcW w:w="2286" w:type="dxa"/>
            <w:shd w:val="clear" w:color="auto" w:fill="auto"/>
          </w:tcPr>
          <w:p w14:paraId="00FCB08B" w14:textId="77777777" w:rsidR="004109E5" w:rsidRPr="009F18E1" w:rsidRDefault="004109E5" w:rsidP="004C268A">
            <w:pPr>
              <w:pStyle w:val="TAC"/>
            </w:pPr>
            <w:r w:rsidRPr="009F18E1">
              <w:t>Cyclic prefix</w:t>
            </w:r>
          </w:p>
        </w:tc>
        <w:tc>
          <w:tcPr>
            <w:tcW w:w="2817" w:type="dxa"/>
            <w:shd w:val="clear" w:color="auto" w:fill="auto"/>
          </w:tcPr>
          <w:p w14:paraId="790D83E2" w14:textId="77777777" w:rsidR="004109E5" w:rsidRPr="009F18E1" w:rsidRDefault="004109E5" w:rsidP="004C268A">
            <w:pPr>
              <w:pStyle w:val="TAC"/>
            </w:pPr>
            <w:r w:rsidRPr="009F18E1">
              <w:t>Normal</w:t>
            </w:r>
          </w:p>
        </w:tc>
      </w:tr>
      <w:tr w:rsidR="004109E5" w:rsidRPr="009F18E1" w14:paraId="39337CED" w14:textId="77777777" w:rsidTr="004C268A">
        <w:trPr>
          <w:jc w:val="center"/>
        </w:trPr>
        <w:tc>
          <w:tcPr>
            <w:tcW w:w="2286" w:type="dxa"/>
            <w:shd w:val="clear" w:color="auto" w:fill="auto"/>
          </w:tcPr>
          <w:p w14:paraId="307D6475" w14:textId="77777777" w:rsidR="004109E5" w:rsidRPr="009F18E1" w:rsidRDefault="004109E5" w:rsidP="004C268A">
            <w:pPr>
              <w:pStyle w:val="TAC"/>
            </w:pPr>
            <w:r w:rsidRPr="009F18E1">
              <w:t>Timing uncertainty</w:t>
            </w:r>
          </w:p>
        </w:tc>
        <w:tc>
          <w:tcPr>
            <w:tcW w:w="2817" w:type="dxa"/>
            <w:shd w:val="clear" w:color="auto" w:fill="auto"/>
          </w:tcPr>
          <w:p w14:paraId="5583B7EA" w14:textId="3ECF246C" w:rsidR="004109E5" w:rsidRPr="009F18E1" w:rsidRDefault="004109E5" w:rsidP="005D096A">
            <w:pPr>
              <w:pStyle w:val="TAC"/>
            </w:pPr>
            <w:r w:rsidRPr="009F18E1">
              <w:t xml:space="preserve">Uniformly drawn from the cyclic prefix range (+ and -). </w:t>
            </w:r>
          </w:p>
        </w:tc>
      </w:tr>
      <w:tr w:rsidR="004109E5" w:rsidRPr="009F18E1" w14:paraId="316B3F4B" w14:textId="77777777" w:rsidTr="004C268A">
        <w:trPr>
          <w:jc w:val="center"/>
        </w:trPr>
        <w:tc>
          <w:tcPr>
            <w:tcW w:w="2286" w:type="dxa"/>
            <w:shd w:val="clear" w:color="auto" w:fill="auto"/>
          </w:tcPr>
          <w:p w14:paraId="074C5FAD" w14:textId="77777777" w:rsidR="004109E5" w:rsidRPr="009F18E1" w:rsidRDefault="004109E5" w:rsidP="004C268A">
            <w:pPr>
              <w:pStyle w:val="TAC"/>
            </w:pPr>
            <w:r w:rsidRPr="009F18E1">
              <w:t>Frequency error</w:t>
            </w:r>
          </w:p>
        </w:tc>
        <w:tc>
          <w:tcPr>
            <w:tcW w:w="2817" w:type="dxa"/>
            <w:shd w:val="clear" w:color="auto" w:fill="auto"/>
          </w:tcPr>
          <w:p w14:paraId="17FF1F94" w14:textId="2BB50B64" w:rsidR="004109E5" w:rsidRPr="009F18E1" w:rsidRDefault="004109E5" w:rsidP="005D096A">
            <w:pPr>
              <w:pStyle w:val="TAC"/>
            </w:pPr>
            <w:r w:rsidRPr="009F18E1">
              <w:t xml:space="preserve">-50 </w:t>
            </w:r>
            <w:proofErr w:type="gramStart"/>
            <w:r w:rsidRPr="009F18E1">
              <w:t>Hz,</w:t>
            </w:r>
            <w:proofErr w:type="gramEnd"/>
            <w:r>
              <w:t xml:space="preserve"> or</w:t>
            </w:r>
            <w:r w:rsidRPr="009F18E1">
              <w:t xml:space="preserve"> 50 Hz</w:t>
            </w:r>
            <w:r>
              <w:t xml:space="preserve"> drawn with equal probability for each realization</w:t>
            </w:r>
            <w:r w:rsidRPr="009F18E1">
              <w:t xml:space="preserve">. </w:t>
            </w:r>
          </w:p>
        </w:tc>
      </w:tr>
      <w:tr w:rsidR="005D096A" w:rsidRPr="009F18E1" w14:paraId="2D0625C0" w14:textId="77777777" w:rsidTr="004C268A">
        <w:trPr>
          <w:jc w:val="center"/>
        </w:trPr>
        <w:tc>
          <w:tcPr>
            <w:tcW w:w="2286" w:type="dxa"/>
            <w:shd w:val="clear" w:color="auto" w:fill="auto"/>
          </w:tcPr>
          <w:p w14:paraId="7FBCB51D" w14:textId="5FE30A85" w:rsidR="005D096A" w:rsidRPr="009F18E1" w:rsidRDefault="005D096A" w:rsidP="004C268A">
            <w:pPr>
              <w:pStyle w:val="TAC"/>
            </w:pPr>
            <w:r>
              <w:t>Number of scheduled PRBs</w:t>
            </w:r>
          </w:p>
        </w:tc>
        <w:tc>
          <w:tcPr>
            <w:tcW w:w="2817" w:type="dxa"/>
            <w:shd w:val="clear" w:color="auto" w:fill="auto"/>
          </w:tcPr>
          <w:p w14:paraId="057D2521" w14:textId="193206AA" w:rsidR="005D096A" w:rsidRPr="009F18E1" w:rsidRDefault="00D331DF" w:rsidP="005D096A">
            <w:pPr>
              <w:pStyle w:val="TAC"/>
            </w:pPr>
            <w:r>
              <w:t>1 on each side of scheduled NB-</w:t>
            </w:r>
            <w:proofErr w:type="spellStart"/>
            <w:r>
              <w:t>IoT</w:t>
            </w:r>
            <w:proofErr w:type="spellEnd"/>
          </w:p>
        </w:tc>
      </w:tr>
      <w:tr w:rsidR="004109E5" w:rsidRPr="009F18E1" w14:paraId="6F4C7A02" w14:textId="77777777" w:rsidTr="004C268A">
        <w:trPr>
          <w:jc w:val="center"/>
        </w:trPr>
        <w:tc>
          <w:tcPr>
            <w:tcW w:w="2286" w:type="dxa"/>
            <w:shd w:val="clear" w:color="auto" w:fill="auto"/>
          </w:tcPr>
          <w:p w14:paraId="7A67E181" w14:textId="77777777" w:rsidR="004109E5" w:rsidRPr="009F18E1" w:rsidRDefault="004109E5" w:rsidP="004C268A">
            <w:pPr>
              <w:pStyle w:val="TAC"/>
            </w:pPr>
            <w:r w:rsidRPr="009F18E1">
              <w:t>Number of channel realizations</w:t>
            </w:r>
          </w:p>
        </w:tc>
        <w:tc>
          <w:tcPr>
            <w:tcW w:w="2817" w:type="dxa"/>
            <w:shd w:val="clear" w:color="auto" w:fill="auto"/>
          </w:tcPr>
          <w:p w14:paraId="7E431A14" w14:textId="071622ED" w:rsidR="004109E5" w:rsidRPr="009F18E1" w:rsidRDefault="004109E5" w:rsidP="004C268A">
            <w:pPr>
              <w:pStyle w:val="TAC"/>
            </w:pPr>
            <w:r>
              <w:t>10</w:t>
            </w:r>
            <w:r w:rsidRPr="009F18E1">
              <w:t>,000</w:t>
            </w:r>
          </w:p>
        </w:tc>
      </w:tr>
    </w:tbl>
    <w:p w14:paraId="6FD96F86" w14:textId="516860FA" w:rsidR="00055FB3" w:rsidRDefault="00055FB3" w:rsidP="000D6F2B">
      <w:pPr>
        <w:pStyle w:val="Caption"/>
        <w:jc w:val="both"/>
      </w:pPr>
    </w:p>
    <w:p w14:paraId="4A7D4E19" w14:textId="3530450D" w:rsidR="005D096A" w:rsidRDefault="000D6F2B" w:rsidP="005D096A">
      <w:pPr>
        <w:rPr>
          <w:color w:val="000000" w:themeColor="text1"/>
        </w:rPr>
      </w:pPr>
      <w:r>
        <w:rPr>
          <w:color w:val="000000" w:themeColor="text1"/>
        </w:rPr>
        <w:fldChar w:fldCharType="begin"/>
      </w:r>
      <w:r>
        <w:rPr>
          <w:color w:val="000000" w:themeColor="text1"/>
        </w:rPr>
        <w:instrText xml:space="preserve"> REF _Ref434593747 \h </w:instrText>
      </w:r>
      <w:r>
        <w:rPr>
          <w:color w:val="000000" w:themeColor="text1"/>
        </w:rPr>
      </w:r>
      <w:r>
        <w:rPr>
          <w:color w:val="000000" w:themeColor="text1"/>
        </w:rPr>
        <w:fldChar w:fldCharType="separate"/>
      </w:r>
      <w:r w:rsidR="00021FA9">
        <w:t xml:space="preserve">Figure </w:t>
      </w:r>
      <w:r w:rsidR="00021FA9">
        <w:rPr>
          <w:noProof/>
        </w:rPr>
        <w:t>2</w:t>
      </w:r>
      <w:r>
        <w:rPr>
          <w:color w:val="000000" w:themeColor="text1"/>
        </w:rPr>
        <w:fldChar w:fldCharType="end"/>
      </w:r>
      <w:r>
        <w:rPr>
          <w:color w:val="000000" w:themeColor="text1"/>
        </w:rPr>
        <w:t xml:space="preserve"> shows the NB-</w:t>
      </w:r>
      <w:proofErr w:type="spellStart"/>
      <w:r>
        <w:rPr>
          <w:color w:val="000000" w:themeColor="text1"/>
        </w:rPr>
        <w:t>IoT</w:t>
      </w:r>
      <w:proofErr w:type="spellEnd"/>
      <w:r w:rsidR="005D096A" w:rsidRPr="009F18E1">
        <w:rPr>
          <w:color w:val="000000" w:themeColor="text1"/>
        </w:rPr>
        <w:t xml:space="preserve"> </w:t>
      </w:r>
      <w:r w:rsidR="00321FE9">
        <w:rPr>
          <w:color w:val="000000" w:themeColor="text1"/>
        </w:rPr>
        <w:t>NB-PBCH</w:t>
      </w:r>
      <w:r w:rsidR="005D096A" w:rsidRPr="009F18E1">
        <w:rPr>
          <w:color w:val="000000" w:themeColor="text1"/>
        </w:rPr>
        <w:t xml:space="preserve"> block error rate (BLER) performance versus SNR</w:t>
      </w:r>
      <w:r>
        <w:rPr>
          <w:color w:val="000000" w:themeColor="text1"/>
        </w:rPr>
        <w:t xml:space="preserve"> using NB-</w:t>
      </w:r>
      <w:proofErr w:type="spellStart"/>
      <w:r>
        <w:rPr>
          <w:color w:val="000000" w:themeColor="text1"/>
        </w:rPr>
        <w:t>IoT</w:t>
      </w:r>
      <w:proofErr w:type="spellEnd"/>
      <w:r w:rsidR="005D096A">
        <w:rPr>
          <w:color w:val="000000" w:themeColor="text1"/>
        </w:rPr>
        <w:t xml:space="preserve"> specific CRS</w:t>
      </w:r>
      <w:r w:rsidR="005D096A" w:rsidRPr="009F18E1">
        <w:rPr>
          <w:color w:val="000000" w:themeColor="text1"/>
        </w:rPr>
        <w:t xml:space="preserve"> for channel estimation</w:t>
      </w:r>
      <w:r w:rsidR="00144615">
        <w:rPr>
          <w:color w:val="000000" w:themeColor="text1"/>
        </w:rPr>
        <w:t>, assuming zero SFO</w:t>
      </w:r>
      <w:r w:rsidR="005D096A" w:rsidRPr="009F18E1">
        <w:rPr>
          <w:color w:val="000000" w:themeColor="text1"/>
        </w:rPr>
        <w:t>.</w:t>
      </w:r>
      <w:r w:rsidR="00F47217">
        <w:rPr>
          <w:color w:val="000000" w:themeColor="text1"/>
        </w:rPr>
        <w:t xml:space="preserve"> (The </w:t>
      </w:r>
      <w:proofErr w:type="gramStart"/>
      <w:r w:rsidR="00B27CCD">
        <w:rPr>
          <w:color w:val="000000" w:themeColor="text1"/>
        </w:rPr>
        <w:t>resource</w:t>
      </w:r>
      <w:proofErr w:type="gramEnd"/>
      <w:r w:rsidR="00F47217">
        <w:rPr>
          <w:color w:val="000000" w:themeColor="text1"/>
        </w:rPr>
        <w:t xml:space="preserve"> elements correspond to LTE CRSs are not used by NB-</w:t>
      </w:r>
      <w:proofErr w:type="spellStart"/>
      <w:r w:rsidR="00F47217">
        <w:rPr>
          <w:color w:val="000000" w:themeColor="text1"/>
        </w:rPr>
        <w:t>IoT</w:t>
      </w:r>
      <w:proofErr w:type="spellEnd"/>
      <w:r w:rsidR="00F47217">
        <w:rPr>
          <w:color w:val="000000" w:themeColor="text1"/>
        </w:rPr>
        <w:t xml:space="preserve"> PBCH</w:t>
      </w:r>
      <w:r w:rsidR="00881D56">
        <w:rPr>
          <w:color w:val="000000" w:themeColor="text1"/>
        </w:rPr>
        <w:t xml:space="preserve"> in the simulation</w:t>
      </w:r>
      <w:r w:rsidR="00F47217">
        <w:rPr>
          <w:color w:val="000000" w:themeColor="text1"/>
        </w:rPr>
        <w:t>.)</w:t>
      </w:r>
      <w:r w:rsidR="005D096A" w:rsidRPr="009F18E1">
        <w:rPr>
          <w:color w:val="000000" w:themeColor="text1"/>
        </w:rPr>
        <w:t xml:space="preserve"> </w:t>
      </w:r>
    </w:p>
    <w:p w14:paraId="77769F84" w14:textId="77777777" w:rsidR="00D168A9" w:rsidRDefault="00D168A9" w:rsidP="00D168A9">
      <w:pPr>
        <w:jc w:val="center"/>
      </w:pPr>
      <w:r>
        <w:rPr>
          <w:noProof/>
          <w:lang w:val="en-US"/>
        </w:rPr>
        <w:drawing>
          <wp:inline distT="0" distB="0" distL="0" distR="0" wp14:anchorId="545F4D35" wp14:editId="6721D566">
            <wp:extent cx="6106795" cy="2186305"/>
            <wp:effectExtent l="0" t="0" r="8255" b="4445"/>
            <wp:docPr id="3" name="Picture 3" descr="C:\local_data\MassiveMTC\MyDocs\RAN1_84\PBCH_comp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yDocs\RAN1_84\PBCH_complet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6795" cy="2186305"/>
                    </a:xfrm>
                    <a:prstGeom prst="rect">
                      <a:avLst/>
                    </a:prstGeom>
                    <a:noFill/>
                    <a:ln>
                      <a:noFill/>
                    </a:ln>
                  </pic:spPr>
                </pic:pic>
              </a:graphicData>
            </a:graphic>
          </wp:inline>
        </w:drawing>
      </w:r>
    </w:p>
    <w:p w14:paraId="471CFAAF" w14:textId="1804A085" w:rsidR="00D168A9" w:rsidRPr="00D168A9" w:rsidRDefault="00D168A9" w:rsidP="00D168A9">
      <w:pPr>
        <w:pStyle w:val="TF"/>
      </w:pPr>
      <w:bookmarkStart w:id="5" w:name="_Ref434593747"/>
      <w:r>
        <w:t xml:space="preserve">Figure </w:t>
      </w:r>
      <w:r>
        <w:fldChar w:fldCharType="begin"/>
      </w:r>
      <w:r>
        <w:instrText xml:space="preserve"> SEQ Figure \* ARABIC </w:instrText>
      </w:r>
      <w:r>
        <w:fldChar w:fldCharType="separate"/>
      </w:r>
      <w:r w:rsidR="00021FA9">
        <w:rPr>
          <w:noProof/>
        </w:rPr>
        <w:t>2</w:t>
      </w:r>
      <w:r>
        <w:fldChar w:fldCharType="end"/>
      </w:r>
      <w:bookmarkEnd w:id="5"/>
      <w:r>
        <w:t>:</w:t>
      </w:r>
      <w:r w:rsidRPr="005D096A">
        <w:t xml:space="preserve"> </w:t>
      </w:r>
      <w:r>
        <w:t>NB-</w:t>
      </w:r>
      <w:r w:rsidRPr="009F18E1">
        <w:t xml:space="preserve">PBCH Block Error Rates </w:t>
      </w:r>
    </w:p>
    <w:p w14:paraId="3DA41245" w14:textId="4460E4C7" w:rsidR="00D168A9" w:rsidRDefault="00D168A9" w:rsidP="005D096A">
      <w:pPr>
        <w:rPr>
          <w:color w:val="000000" w:themeColor="text1"/>
        </w:rPr>
      </w:pPr>
      <w:r w:rsidRPr="00D168A9">
        <w:rPr>
          <w:color w:val="000000" w:themeColor="text1"/>
        </w:rPr>
        <w:t xml:space="preserve">In </w:t>
      </w:r>
      <w:proofErr w:type="spellStart"/>
      <w:r w:rsidRPr="00D168A9">
        <w:rPr>
          <w:color w:val="000000" w:themeColor="text1"/>
        </w:rPr>
        <w:t>inband</w:t>
      </w:r>
      <w:proofErr w:type="spellEnd"/>
      <w:r w:rsidRPr="00D168A9">
        <w:rPr>
          <w:color w:val="000000" w:themeColor="text1"/>
        </w:rPr>
        <w:t xml:space="preserve"> case, the BS transmit power is shared among all the PRBs. For standalone, the PSD is 43 </w:t>
      </w:r>
      <w:proofErr w:type="spellStart"/>
      <w:r w:rsidRPr="00D168A9">
        <w:rPr>
          <w:color w:val="000000" w:themeColor="text1"/>
        </w:rPr>
        <w:t>dBm</w:t>
      </w:r>
      <w:proofErr w:type="spellEnd"/>
      <w:r w:rsidRPr="00D168A9">
        <w:rPr>
          <w:color w:val="000000" w:themeColor="text1"/>
        </w:rPr>
        <w:t xml:space="preserve">. For </w:t>
      </w:r>
      <w:proofErr w:type="spellStart"/>
      <w:r w:rsidRPr="00D168A9">
        <w:rPr>
          <w:color w:val="000000" w:themeColor="text1"/>
        </w:rPr>
        <w:t>inband</w:t>
      </w:r>
      <w:proofErr w:type="spellEnd"/>
      <w:r w:rsidRPr="00D168A9">
        <w:rPr>
          <w:color w:val="000000" w:themeColor="text1"/>
        </w:rPr>
        <w:t xml:space="preserve"> with 46 </w:t>
      </w:r>
      <w:proofErr w:type="spellStart"/>
      <w:r w:rsidRPr="00D168A9">
        <w:rPr>
          <w:color w:val="000000" w:themeColor="text1"/>
        </w:rPr>
        <w:t>dBm</w:t>
      </w:r>
      <w:proofErr w:type="spellEnd"/>
      <w:r w:rsidRPr="00D168A9">
        <w:rPr>
          <w:color w:val="000000" w:themeColor="text1"/>
        </w:rPr>
        <w:t xml:space="preserve"> TX, 10 MHz channel, and 6 dB power boosting, the PSD for </w:t>
      </w:r>
      <w:proofErr w:type="spellStart"/>
      <w:r w:rsidRPr="00D168A9">
        <w:rPr>
          <w:color w:val="000000" w:themeColor="text1"/>
        </w:rPr>
        <w:t>inband</w:t>
      </w:r>
      <w:proofErr w:type="spellEnd"/>
      <w:r w:rsidRPr="00D168A9">
        <w:rPr>
          <w:color w:val="000000" w:themeColor="text1"/>
        </w:rPr>
        <w:t xml:space="preserve"> NB </w:t>
      </w:r>
      <w:proofErr w:type="spellStart"/>
      <w:r w:rsidRPr="00D168A9">
        <w:rPr>
          <w:color w:val="000000" w:themeColor="text1"/>
        </w:rPr>
        <w:t>IoT</w:t>
      </w:r>
      <w:proofErr w:type="spellEnd"/>
      <w:r w:rsidRPr="00D168A9">
        <w:rPr>
          <w:color w:val="000000" w:themeColor="text1"/>
        </w:rPr>
        <w:t xml:space="preserve"> is 8 dB lower than the standalone. For 144dB, 154dB, and 164dB MCL, the corresponding SNR points in the figure </w:t>
      </w:r>
      <w:r>
        <w:rPr>
          <w:color w:val="000000" w:themeColor="text1"/>
        </w:rPr>
        <w:t xml:space="preserve">are -12.6dB, -2.6dB, and 7.4dB. </w:t>
      </w:r>
    </w:p>
    <w:p w14:paraId="2B296866" w14:textId="7BCB541D" w:rsidR="00D168A9" w:rsidRDefault="00D168A9" w:rsidP="00D168A9">
      <w:pPr>
        <w:pStyle w:val="ListParagraph"/>
        <w:numPr>
          <w:ilvl w:val="0"/>
          <w:numId w:val="44"/>
        </w:numPr>
        <w:rPr>
          <w:color w:val="000000" w:themeColor="text1"/>
        </w:rPr>
      </w:pPr>
      <w:r w:rsidRPr="00D168A9">
        <w:rPr>
          <w:color w:val="000000" w:themeColor="text1"/>
        </w:rPr>
        <w:t xml:space="preserve">144 dB: to get 10% BLER, the UE needs two PBCH </w:t>
      </w:r>
      <w:proofErr w:type="spellStart"/>
      <w:r w:rsidRPr="00D168A9">
        <w:rPr>
          <w:color w:val="000000" w:themeColor="text1"/>
        </w:rPr>
        <w:t>subframes</w:t>
      </w:r>
      <w:proofErr w:type="spellEnd"/>
      <w:r w:rsidRPr="00D168A9">
        <w:rPr>
          <w:color w:val="000000" w:themeColor="text1"/>
        </w:rPr>
        <w:t xml:space="preserve"> to decode. </w:t>
      </w:r>
    </w:p>
    <w:p w14:paraId="0E6C1006" w14:textId="77777777" w:rsidR="00021FA9" w:rsidRPr="00D168A9" w:rsidRDefault="00021FA9" w:rsidP="00021FA9">
      <w:pPr>
        <w:pStyle w:val="ListParagraph"/>
        <w:rPr>
          <w:color w:val="000000" w:themeColor="text1"/>
        </w:rPr>
      </w:pPr>
    </w:p>
    <w:p w14:paraId="5D6E3440" w14:textId="77777777" w:rsidR="00021FA9" w:rsidRDefault="00D168A9" w:rsidP="00021FA9">
      <w:pPr>
        <w:pStyle w:val="ListParagraph"/>
        <w:numPr>
          <w:ilvl w:val="0"/>
          <w:numId w:val="44"/>
        </w:numPr>
        <w:rPr>
          <w:color w:val="000000" w:themeColor="text1"/>
        </w:rPr>
      </w:pPr>
      <w:r w:rsidRPr="00D168A9">
        <w:rPr>
          <w:color w:val="000000" w:themeColor="text1"/>
        </w:rPr>
        <w:t xml:space="preserve">154 dB: to get 10% BLER, the UE needs two PBCH </w:t>
      </w:r>
      <w:proofErr w:type="spellStart"/>
      <w:r w:rsidRPr="00D168A9">
        <w:rPr>
          <w:color w:val="000000" w:themeColor="text1"/>
        </w:rPr>
        <w:t>subblocks</w:t>
      </w:r>
      <w:proofErr w:type="spellEnd"/>
      <w:r w:rsidRPr="00D168A9">
        <w:rPr>
          <w:color w:val="000000" w:themeColor="text1"/>
        </w:rPr>
        <w:t xml:space="preserve"> to decode. </w:t>
      </w:r>
    </w:p>
    <w:p w14:paraId="4B4CC080" w14:textId="77777777" w:rsidR="00021FA9" w:rsidRPr="00021FA9" w:rsidRDefault="00021FA9" w:rsidP="00021FA9">
      <w:pPr>
        <w:pStyle w:val="ListParagraph"/>
        <w:rPr>
          <w:color w:val="000000" w:themeColor="text1"/>
        </w:rPr>
      </w:pPr>
    </w:p>
    <w:p w14:paraId="3DC9ECE8" w14:textId="67D757B6" w:rsidR="00D168A9" w:rsidRPr="00021FA9" w:rsidRDefault="00D168A9" w:rsidP="00021FA9">
      <w:pPr>
        <w:pStyle w:val="ListParagraph"/>
        <w:numPr>
          <w:ilvl w:val="0"/>
          <w:numId w:val="44"/>
        </w:numPr>
        <w:rPr>
          <w:color w:val="000000" w:themeColor="text1"/>
        </w:rPr>
      </w:pPr>
      <w:r w:rsidRPr="00021FA9">
        <w:rPr>
          <w:color w:val="000000" w:themeColor="text1"/>
        </w:rPr>
        <w:t xml:space="preserve">164 dB: Note that </w:t>
      </w:r>
      <w:r w:rsidR="00522F6B" w:rsidRPr="00021FA9">
        <w:rPr>
          <w:color w:val="000000" w:themeColor="text1"/>
        </w:rPr>
        <w:fldChar w:fldCharType="begin"/>
      </w:r>
      <w:r w:rsidR="00522F6B" w:rsidRPr="00021FA9">
        <w:rPr>
          <w:color w:val="000000" w:themeColor="text1"/>
        </w:rPr>
        <w:instrText xml:space="preserve"> REF _Ref434593747 \h </w:instrText>
      </w:r>
      <w:r w:rsidR="00522F6B" w:rsidRPr="00021FA9">
        <w:rPr>
          <w:color w:val="000000" w:themeColor="text1"/>
        </w:rPr>
      </w:r>
      <w:r w:rsidR="00522F6B" w:rsidRPr="00021FA9">
        <w:rPr>
          <w:color w:val="000000" w:themeColor="text1"/>
        </w:rPr>
        <w:fldChar w:fldCharType="separate"/>
      </w:r>
      <w:r w:rsidR="00021FA9">
        <w:t xml:space="preserve">Figure </w:t>
      </w:r>
      <w:r w:rsidR="00021FA9">
        <w:rPr>
          <w:noProof/>
        </w:rPr>
        <w:t>2</w:t>
      </w:r>
      <w:r w:rsidR="00522F6B" w:rsidRPr="00021FA9">
        <w:rPr>
          <w:color w:val="000000" w:themeColor="text1"/>
        </w:rPr>
        <w:fldChar w:fldCharType="end"/>
      </w:r>
      <w:r w:rsidR="00522F6B" w:rsidRPr="00021FA9">
        <w:rPr>
          <w:color w:val="000000" w:themeColor="text1"/>
        </w:rPr>
        <w:t xml:space="preserve"> </w:t>
      </w:r>
      <w:r w:rsidRPr="00021FA9">
        <w:rPr>
          <w:color w:val="000000" w:themeColor="text1"/>
        </w:rPr>
        <w:t>shows to get 10% BLER, even 1 TTI is not good enough.</w:t>
      </w:r>
      <w:r w:rsidR="00522F6B" w:rsidRPr="00021FA9">
        <w:rPr>
          <w:color w:val="000000" w:themeColor="text1"/>
        </w:rPr>
        <w:t xml:space="preserve"> In other words, the BLER at -12.6 dB is higher than 10% BLER. So we further</w:t>
      </w:r>
      <w:r w:rsidRPr="00021FA9">
        <w:rPr>
          <w:color w:val="000000" w:themeColor="text1"/>
        </w:rPr>
        <w:t xml:space="preserve"> </w:t>
      </w:r>
      <w:r w:rsidR="00522F6B" w:rsidRPr="00021FA9">
        <w:rPr>
          <w:color w:val="000000" w:themeColor="text1"/>
        </w:rPr>
        <w:t>evaluate</w:t>
      </w:r>
      <w:r w:rsidRPr="00021FA9">
        <w:rPr>
          <w:color w:val="000000" w:themeColor="text1"/>
        </w:rPr>
        <w:t xml:space="preserve"> a “Keep-trying” approach, i.e., the UE keeps PBCH decoding until it succeeds. </w:t>
      </w:r>
      <w:r w:rsidR="00522F6B" w:rsidRPr="00021FA9">
        <w:rPr>
          <w:color w:val="000000" w:themeColor="text1"/>
        </w:rPr>
        <w:t xml:space="preserve">The simulation result </w:t>
      </w:r>
      <w:r w:rsidR="007B18C9" w:rsidRPr="00021FA9">
        <w:rPr>
          <w:color w:val="000000" w:themeColor="text1"/>
        </w:rPr>
        <w:t>shows that</w:t>
      </w:r>
      <w:r w:rsidR="00522F6B" w:rsidRPr="00021FA9">
        <w:rPr>
          <w:color w:val="000000" w:themeColor="text1"/>
        </w:rPr>
        <w:t xml:space="preserve"> </w:t>
      </w:r>
      <w:r w:rsidRPr="00021FA9">
        <w:rPr>
          <w:color w:val="000000" w:themeColor="text1"/>
        </w:rPr>
        <w:t xml:space="preserve">trying 2 times is enough to get 90% BLER. </w:t>
      </w:r>
    </w:p>
    <w:p w14:paraId="69604CDC" w14:textId="7A72F937" w:rsidR="00055FB3" w:rsidRPr="00E330BC" w:rsidRDefault="00055FB3" w:rsidP="00055FB3">
      <w:pPr>
        <w:pStyle w:val="Heading1"/>
      </w:pPr>
      <w:r>
        <w:lastRenderedPageBreak/>
        <w:t>Conclusions</w:t>
      </w:r>
    </w:p>
    <w:p w14:paraId="3378B6C2" w14:textId="71BAE0FE" w:rsidR="009A4EF7" w:rsidRDefault="00DB559C" w:rsidP="00055FB3">
      <w:pPr>
        <w:pStyle w:val="BodyText"/>
      </w:pPr>
      <w:r>
        <w:t>This cont</w:t>
      </w:r>
      <w:r w:rsidR="00B530F2">
        <w:t xml:space="preserve">ribution has provided </w:t>
      </w:r>
      <w:r w:rsidR="00A81AFB">
        <w:t xml:space="preserve">more </w:t>
      </w:r>
      <w:r w:rsidR="009A4EF7">
        <w:t>complete BLER results for NB-PBCH</w:t>
      </w:r>
      <w:r w:rsidR="00AD0838">
        <w:t xml:space="preserve"> decoding</w:t>
      </w:r>
      <w:r w:rsidR="009A4EF7">
        <w:t xml:space="preserve"> in</w:t>
      </w:r>
      <w:r>
        <w:t xml:space="preserve"> NB-</w:t>
      </w:r>
      <w:proofErr w:type="spellStart"/>
      <w:r>
        <w:t>IoT</w:t>
      </w:r>
      <w:proofErr w:type="spellEnd"/>
      <w:r>
        <w:t xml:space="preserve">. </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578C4B59" w:rsidR="00BD48C2" w:rsidRDefault="009576D3"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6" w:name="_Ref434328991"/>
      <w:bookmarkStart w:id="7" w:name="_Ref430944728"/>
      <w:r>
        <w:t>R</w:t>
      </w:r>
      <w:r w:rsidR="00F5137F">
        <w:t>P-151621, “New Work Item: Narrow</w:t>
      </w:r>
      <w:r w:rsidR="008C2604">
        <w:t>b</w:t>
      </w:r>
      <w:r w:rsidR="00F5137F">
        <w:t xml:space="preserve">and </w:t>
      </w:r>
      <w:proofErr w:type="spellStart"/>
      <w:r w:rsidR="00F5137F">
        <w:t>I</w:t>
      </w:r>
      <w:r w:rsidR="008C2604">
        <w:t>o</w:t>
      </w:r>
      <w:r w:rsidR="00F5137F">
        <w:t>T</w:t>
      </w:r>
      <w:proofErr w:type="spellEnd"/>
      <w:r w:rsidR="00F5137F">
        <w:t xml:space="preserve"> (NB-</w:t>
      </w:r>
      <w:proofErr w:type="spellStart"/>
      <w:r w:rsidR="00F5137F">
        <w:t>I</w:t>
      </w:r>
      <w:r w:rsidR="008C2604">
        <w:t>o</w:t>
      </w:r>
      <w:r w:rsidR="00F5137F">
        <w:t>T</w:t>
      </w:r>
      <w:proofErr w:type="spellEnd"/>
      <w:r w:rsidR="00F5137F">
        <w:t>),” source Qualcomm Inc., RAN #69.</w:t>
      </w:r>
      <w:bookmarkEnd w:id="6"/>
    </w:p>
    <w:p w14:paraId="41423D7C" w14:textId="528D849F" w:rsidR="009576D3" w:rsidRDefault="009576D3" w:rsidP="009576D3">
      <w:pPr>
        <w:pStyle w:val="Reference"/>
        <w:numPr>
          <w:ilvl w:val="0"/>
          <w:numId w:val="2"/>
        </w:numPr>
        <w:overflowPunct/>
        <w:autoSpaceDE/>
        <w:autoSpaceDN/>
        <w:adjustRightInd/>
        <w:spacing w:after="200" w:line="276" w:lineRule="auto"/>
        <w:jc w:val="left"/>
        <w:textAlignment w:val="auto"/>
      </w:pPr>
      <w:bookmarkStart w:id="8" w:name="_Ref436223503"/>
      <w:r>
        <w:t xml:space="preserve">RP-152284, “New Work Item: Narrowband </w:t>
      </w:r>
      <w:proofErr w:type="spellStart"/>
      <w:r>
        <w:t>IoT</w:t>
      </w:r>
      <w:proofErr w:type="spellEnd"/>
      <w:r>
        <w:t xml:space="preserve"> (NB-</w:t>
      </w:r>
      <w:proofErr w:type="spellStart"/>
      <w:r>
        <w:t>IoT</w:t>
      </w:r>
      <w:proofErr w:type="spellEnd"/>
      <w:r>
        <w:t xml:space="preserve">),” sources Huawei and </w:t>
      </w:r>
      <w:proofErr w:type="spellStart"/>
      <w:r>
        <w:t>HiSilicon</w:t>
      </w:r>
      <w:proofErr w:type="spellEnd"/>
      <w:r>
        <w:t>, RAN #70.</w:t>
      </w:r>
      <w:bookmarkEnd w:id="8"/>
    </w:p>
    <w:p w14:paraId="169F32D0" w14:textId="13EC5D95" w:rsidR="00021FA9" w:rsidRPr="00021FA9" w:rsidRDefault="00021FA9" w:rsidP="00021FA9">
      <w:pPr>
        <w:pStyle w:val="Reference"/>
        <w:numPr>
          <w:ilvl w:val="0"/>
          <w:numId w:val="2"/>
        </w:numPr>
        <w:overflowPunct/>
        <w:autoSpaceDE/>
        <w:autoSpaceDN/>
        <w:adjustRightInd/>
        <w:spacing w:after="200" w:line="276" w:lineRule="auto"/>
        <w:jc w:val="left"/>
        <w:textAlignment w:val="auto"/>
        <w:rPr>
          <w:rFonts w:cs="Arial"/>
        </w:rPr>
      </w:pPr>
      <w:bookmarkStart w:id="9" w:name="_Ref441756286"/>
      <w:r w:rsidRPr="005560B2">
        <w:t>RAN1 Chairman’s Notes</w:t>
      </w:r>
      <w:r>
        <w:t xml:space="preserve">, </w:t>
      </w:r>
      <w:bookmarkEnd w:id="9"/>
      <w:r w:rsidRPr="0057152E">
        <w:rPr>
          <w:rFonts w:cs="Arial"/>
        </w:rPr>
        <w:t>RAN1 NB-</w:t>
      </w:r>
      <w:proofErr w:type="spellStart"/>
      <w:r w:rsidRPr="0057152E">
        <w:rPr>
          <w:rFonts w:cs="Arial"/>
        </w:rPr>
        <w:t>IoT</w:t>
      </w:r>
      <w:proofErr w:type="spellEnd"/>
      <w:r w:rsidRPr="0057152E">
        <w:rPr>
          <w:rFonts w:cs="Arial"/>
        </w:rPr>
        <w:t xml:space="preserve"> Ad Hoc, January 2016.</w:t>
      </w:r>
    </w:p>
    <w:p w14:paraId="2D16DA20" w14:textId="07924333" w:rsidR="00F60831" w:rsidRPr="00DF438D" w:rsidRDefault="00F60831" w:rsidP="00F60831">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0" w:name="_Ref434586752"/>
      <w:bookmarkStart w:id="11" w:name="_Ref431201513"/>
      <w:bookmarkStart w:id="12" w:name="_Ref424822534"/>
      <w:bookmarkEnd w:id="7"/>
      <w:r>
        <w:rPr>
          <w:rFonts w:cs="NimbusRomNo9L-Regu"/>
          <w:color w:val="231F20"/>
        </w:rPr>
        <w:t>R1-156384,</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 xml:space="preserve">Huawei, </w:t>
      </w:r>
      <w:proofErr w:type="spellStart"/>
      <w:r w:rsidRPr="00030AF8">
        <w:rPr>
          <w:rFonts w:cs="NimbusRomNo9L-Regu"/>
          <w:color w:val="231F20"/>
        </w:rPr>
        <w:t>HiSilicon</w:t>
      </w:r>
      <w:proofErr w:type="spellEnd"/>
      <w:r>
        <w:rPr>
          <w:rFonts w:cs="NimbusRomNo9L-Regu"/>
          <w:color w:val="231F20"/>
        </w:rPr>
        <w:t xml:space="preserve">, </w:t>
      </w:r>
      <w:r>
        <w:t>October 2015, Malmo, Sweden.</w:t>
      </w:r>
      <w:bookmarkEnd w:id="10"/>
      <w:bookmarkEnd w:id="11"/>
    </w:p>
    <w:bookmarkEnd w:id="12"/>
    <w:p w14:paraId="72B8BA77" w14:textId="3F376736" w:rsidR="0098486B" w:rsidRPr="00AF09A6" w:rsidRDefault="0098486B" w:rsidP="00021FA9">
      <w:pPr>
        <w:pStyle w:val="Reference"/>
        <w:numPr>
          <w:ilvl w:val="0"/>
          <w:numId w:val="0"/>
        </w:numPr>
        <w:overflowPunct/>
        <w:autoSpaceDE/>
        <w:autoSpaceDN/>
        <w:adjustRightInd/>
        <w:spacing w:after="200" w:line="276" w:lineRule="auto"/>
        <w:jc w:val="left"/>
        <w:textAlignment w:val="auto"/>
      </w:pPr>
    </w:p>
    <w:sectPr w:rsidR="0098486B" w:rsidRPr="00AF09A6"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E3112" w14:textId="77777777" w:rsidR="00CD3C65" w:rsidRDefault="00CD3C65">
      <w:pPr>
        <w:spacing w:after="0"/>
      </w:pPr>
      <w:r>
        <w:separator/>
      </w:r>
    </w:p>
  </w:endnote>
  <w:endnote w:type="continuationSeparator" w:id="0">
    <w:p w14:paraId="16C96023" w14:textId="77777777" w:rsidR="00CD3C65" w:rsidRDefault="00CD3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576712">
      <w:rPr>
        <w:rStyle w:val="PageNumber"/>
      </w:rPr>
      <w:t>2</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6712">
      <w:rPr>
        <w:rStyle w:val="PageNumber"/>
      </w:rPr>
      <w:t>4</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5767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6712">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B70DD" w14:textId="77777777" w:rsidR="00CD3C65" w:rsidRDefault="00CD3C65">
      <w:pPr>
        <w:spacing w:after="0"/>
      </w:pPr>
      <w:r>
        <w:separator/>
      </w:r>
    </w:p>
  </w:footnote>
  <w:footnote w:type="continuationSeparator" w:id="0">
    <w:p w14:paraId="29ACD5FB" w14:textId="77777777" w:rsidR="00CD3C65" w:rsidRDefault="00CD3C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93462"/>
    <w:multiLevelType w:val="hybridMultilevel"/>
    <w:tmpl w:val="828A7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0">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13"/>
  </w:num>
  <w:num w:numId="4">
    <w:abstractNumId w:val="1"/>
  </w:num>
  <w:num w:numId="5">
    <w:abstractNumId w:val="28"/>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7"/>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4"/>
  </w:num>
  <w:num w:numId="31">
    <w:abstractNumId w:val="22"/>
  </w:num>
  <w:num w:numId="32">
    <w:abstractNumId w:val="31"/>
  </w:num>
  <w:num w:numId="33">
    <w:abstractNumId w:val="8"/>
  </w:num>
  <w:num w:numId="34">
    <w:abstractNumId w:val="8"/>
  </w:num>
  <w:num w:numId="35">
    <w:abstractNumId w:val="8"/>
  </w:num>
  <w:num w:numId="36">
    <w:abstractNumId w:val="12"/>
  </w:num>
  <w:num w:numId="37">
    <w:abstractNumId w:val="30"/>
  </w:num>
  <w:num w:numId="38">
    <w:abstractNumId w:val="9"/>
  </w:num>
  <w:num w:numId="39">
    <w:abstractNumId w:val="23"/>
  </w:num>
  <w:num w:numId="40">
    <w:abstractNumId w:val="32"/>
  </w:num>
  <w:num w:numId="41">
    <w:abstractNumId w:val="11"/>
  </w:num>
  <w:num w:numId="42">
    <w:abstractNumId w:val="29"/>
  </w:num>
  <w:num w:numId="43">
    <w:abstractNumId w:val="26"/>
  </w:num>
  <w:num w:numId="44">
    <w:abstractNumId w:val="25"/>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0494"/>
    <w:rsid w:val="00000C85"/>
    <w:rsid w:val="0000470B"/>
    <w:rsid w:val="00004F8F"/>
    <w:rsid w:val="000051C9"/>
    <w:rsid w:val="00005C0F"/>
    <w:rsid w:val="00005D0A"/>
    <w:rsid w:val="000075E4"/>
    <w:rsid w:val="0001085D"/>
    <w:rsid w:val="00010AEE"/>
    <w:rsid w:val="00013F4F"/>
    <w:rsid w:val="00017366"/>
    <w:rsid w:val="00021FA9"/>
    <w:rsid w:val="000237B9"/>
    <w:rsid w:val="0002572A"/>
    <w:rsid w:val="00027311"/>
    <w:rsid w:val="00027D60"/>
    <w:rsid w:val="00031103"/>
    <w:rsid w:val="0003339C"/>
    <w:rsid w:val="00035879"/>
    <w:rsid w:val="00036097"/>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054A"/>
    <w:rsid w:val="00061919"/>
    <w:rsid w:val="0006596D"/>
    <w:rsid w:val="000668DB"/>
    <w:rsid w:val="00067182"/>
    <w:rsid w:val="0007045A"/>
    <w:rsid w:val="000721FC"/>
    <w:rsid w:val="00072382"/>
    <w:rsid w:val="00074D6C"/>
    <w:rsid w:val="00077C06"/>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42DB"/>
    <w:rsid w:val="000C7570"/>
    <w:rsid w:val="000C7F06"/>
    <w:rsid w:val="000D036A"/>
    <w:rsid w:val="000D221A"/>
    <w:rsid w:val="000D451A"/>
    <w:rsid w:val="000D4E16"/>
    <w:rsid w:val="000D5E53"/>
    <w:rsid w:val="000D6F2B"/>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45"/>
    <w:rsid w:val="00125368"/>
    <w:rsid w:val="001254C4"/>
    <w:rsid w:val="00130ED8"/>
    <w:rsid w:val="001311CC"/>
    <w:rsid w:val="0013241F"/>
    <w:rsid w:val="001354B2"/>
    <w:rsid w:val="00140C24"/>
    <w:rsid w:val="001421A8"/>
    <w:rsid w:val="00142231"/>
    <w:rsid w:val="00142630"/>
    <w:rsid w:val="00142768"/>
    <w:rsid w:val="00144615"/>
    <w:rsid w:val="00145FE5"/>
    <w:rsid w:val="0014605C"/>
    <w:rsid w:val="00146EC4"/>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26A7"/>
    <w:rsid w:val="00194281"/>
    <w:rsid w:val="00194A90"/>
    <w:rsid w:val="001A0E97"/>
    <w:rsid w:val="001A2154"/>
    <w:rsid w:val="001A3ADC"/>
    <w:rsid w:val="001A5940"/>
    <w:rsid w:val="001A6C28"/>
    <w:rsid w:val="001B1584"/>
    <w:rsid w:val="001B3005"/>
    <w:rsid w:val="001B4CAE"/>
    <w:rsid w:val="001B5230"/>
    <w:rsid w:val="001B58B6"/>
    <w:rsid w:val="001C1F12"/>
    <w:rsid w:val="001C3F7C"/>
    <w:rsid w:val="001C6000"/>
    <w:rsid w:val="001C6D7D"/>
    <w:rsid w:val="001C7D09"/>
    <w:rsid w:val="001D06AC"/>
    <w:rsid w:val="001D07A5"/>
    <w:rsid w:val="001D443B"/>
    <w:rsid w:val="001E01A7"/>
    <w:rsid w:val="001E1C9C"/>
    <w:rsid w:val="001E213E"/>
    <w:rsid w:val="001E272E"/>
    <w:rsid w:val="001E582A"/>
    <w:rsid w:val="001E7AF7"/>
    <w:rsid w:val="001F0CE9"/>
    <w:rsid w:val="001F3714"/>
    <w:rsid w:val="001F39B2"/>
    <w:rsid w:val="001F4253"/>
    <w:rsid w:val="001F5990"/>
    <w:rsid w:val="001F651E"/>
    <w:rsid w:val="001F6E69"/>
    <w:rsid w:val="002025E0"/>
    <w:rsid w:val="002042A7"/>
    <w:rsid w:val="0020459E"/>
    <w:rsid w:val="00206BFE"/>
    <w:rsid w:val="002116AB"/>
    <w:rsid w:val="00211935"/>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061E"/>
    <w:rsid w:val="00261AA4"/>
    <w:rsid w:val="0026268B"/>
    <w:rsid w:val="00263976"/>
    <w:rsid w:val="00264921"/>
    <w:rsid w:val="00264BC8"/>
    <w:rsid w:val="00265439"/>
    <w:rsid w:val="00270264"/>
    <w:rsid w:val="0027285A"/>
    <w:rsid w:val="00273DC9"/>
    <w:rsid w:val="00283314"/>
    <w:rsid w:val="00285772"/>
    <w:rsid w:val="00287364"/>
    <w:rsid w:val="00287D33"/>
    <w:rsid w:val="002905F8"/>
    <w:rsid w:val="00291AA4"/>
    <w:rsid w:val="00292A88"/>
    <w:rsid w:val="002951FC"/>
    <w:rsid w:val="002A5A3A"/>
    <w:rsid w:val="002A5DC6"/>
    <w:rsid w:val="002A7B93"/>
    <w:rsid w:val="002B07C7"/>
    <w:rsid w:val="002B11BE"/>
    <w:rsid w:val="002B22BB"/>
    <w:rsid w:val="002B368A"/>
    <w:rsid w:val="002B4986"/>
    <w:rsid w:val="002B5026"/>
    <w:rsid w:val="002B783E"/>
    <w:rsid w:val="002C2D96"/>
    <w:rsid w:val="002C3811"/>
    <w:rsid w:val="002C39D5"/>
    <w:rsid w:val="002C6DB8"/>
    <w:rsid w:val="002D0DE7"/>
    <w:rsid w:val="002D14F3"/>
    <w:rsid w:val="002D224A"/>
    <w:rsid w:val="002D3252"/>
    <w:rsid w:val="002D43CF"/>
    <w:rsid w:val="002D4EAD"/>
    <w:rsid w:val="002D5B4C"/>
    <w:rsid w:val="002E04A3"/>
    <w:rsid w:val="002E1129"/>
    <w:rsid w:val="002E499D"/>
    <w:rsid w:val="002F14AD"/>
    <w:rsid w:val="002F3FAE"/>
    <w:rsid w:val="002F4AD4"/>
    <w:rsid w:val="002F6BC2"/>
    <w:rsid w:val="002F756D"/>
    <w:rsid w:val="003013DF"/>
    <w:rsid w:val="00312CFF"/>
    <w:rsid w:val="003140E8"/>
    <w:rsid w:val="00314278"/>
    <w:rsid w:val="003150B0"/>
    <w:rsid w:val="00320D05"/>
    <w:rsid w:val="003211C9"/>
    <w:rsid w:val="00321FE9"/>
    <w:rsid w:val="00322939"/>
    <w:rsid w:val="00322C8D"/>
    <w:rsid w:val="003230B3"/>
    <w:rsid w:val="00323F7A"/>
    <w:rsid w:val="00324758"/>
    <w:rsid w:val="00327656"/>
    <w:rsid w:val="003302BE"/>
    <w:rsid w:val="003305C3"/>
    <w:rsid w:val="00332C78"/>
    <w:rsid w:val="00335026"/>
    <w:rsid w:val="00336D04"/>
    <w:rsid w:val="003379B0"/>
    <w:rsid w:val="00340E5F"/>
    <w:rsid w:val="00343EA0"/>
    <w:rsid w:val="00347E2E"/>
    <w:rsid w:val="00351F34"/>
    <w:rsid w:val="00352334"/>
    <w:rsid w:val="003526DC"/>
    <w:rsid w:val="0035309F"/>
    <w:rsid w:val="00353DCF"/>
    <w:rsid w:val="00355478"/>
    <w:rsid w:val="003557D5"/>
    <w:rsid w:val="00355DC7"/>
    <w:rsid w:val="003578EB"/>
    <w:rsid w:val="00357C52"/>
    <w:rsid w:val="0036159C"/>
    <w:rsid w:val="003625B9"/>
    <w:rsid w:val="00362B1B"/>
    <w:rsid w:val="00365043"/>
    <w:rsid w:val="00370F5F"/>
    <w:rsid w:val="00370F66"/>
    <w:rsid w:val="00371E8A"/>
    <w:rsid w:val="00371EAE"/>
    <w:rsid w:val="0037332C"/>
    <w:rsid w:val="0038104D"/>
    <w:rsid w:val="003810E8"/>
    <w:rsid w:val="00382067"/>
    <w:rsid w:val="00383CE6"/>
    <w:rsid w:val="0038496E"/>
    <w:rsid w:val="00384D96"/>
    <w:rsid w:val="003858E4"/>
    <w:rsid w:val="00385AAD"/>
    <w:rsid w:val="00390692"/>
    <w:rsid w:val="0039083F"/>
    <w:rsid w:val="00390C1A"/>
    <w:rsid w:val="003945AF"/>
    <w:rsid w:val="003A0C22"/>
    <w:rsid w:val="003A2655"/>
    <w:rsid w:val="003A6896"/>
    <w:rsid w:val="003B1438"/>
    <w:rsid w:val="003B153D"/>
    <w:rsid w:val="003B2F31"/>
    <w:rsid w:val="003B5666"/>
    <w:rsid w:val="003B7671"/>
    <w:rsid w:val="003C456B"/>
    <w:rsid w:val="003C6CD2"/>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09E5"/>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1B76"/>
    <w:rsid w:val="00443BBF"/>
    <w:rsid w:val="004445EF"/>
    <w:rsid w:val="004469EF"/>
    <w:rsid w:val="00447F5B"/>
    <w:rsid w:val="0045072F"/>
    <w:rsid w:val="004518F0"/>
    <w:rsid w:val="004522B2"/>
    <w:rsid w:val="00456CBD"/>
    <w:rsid w:val="004576AA"/>
    <w:rsid w:val="00457BBD"/>
    <w:rsid w:val="00457C55"/>
    <w:rsid w:val="00461F41"/>
    <w:rsid w:val="004626F7"/>
    <w:rsid w:val="00462753"/>
    <w:rsid w:val="00464786"/>
    <w:rsid w:val="00464A7E"/>
    <w:rsid w:val="00465BDE"/>
    <w:rsid w:val="0047083E"/>
    <w:rsid w:val="00472397"/>
    <w:rsid w:val="0047268E"/>
    <w:rsid w:val="004743C0"/>
    <w:rsid w:val="004747E3"/>
    <w:rsid w:val="00476D85"/>
    <w:rsid w:val="004779A9"/>
    <w:rsid w:val="00477D05"/>
    <w:rsid w:val="00486F40"/>
    <w:rsid w:val="004A0B27"/>
    <w:rsid w:val="004A0C80"/>
    <w:rsid w:val="004A0D5B"/>
    <w:rsid w:val="004A2D23"/>
    <w:rsid w:val="004A51E8"/>
    <w:rsid w:val="004A7311"/>
    <w:rsid w:val="004A74BA"/>
    <w:rsid w:val="004B067D"/>
    <w:rsid w:val="004B4AC8"/>
    <w:rsid w:val="004C1326"/>
    <w:rsid w:val="004C1417"/>
    <w:rsid w:val="004C18ED"/>
    <w:rsid w:val="004C2FC4"/>
    <w:rsid w:val="004C4BDC"/>
    <w:rsid w:val="004C519C"/>
    <w:rsid w:val="004D7226"/>
    <w:rsid w:val="004E2E6A"/>
    <w:rsid w:val="004E3C80"/>
    <w:rsid w:val="004F3C24"/>
    <w:rsid w:val="004F4C94"/>
    <w:rsid w:val="004F756F"/>
    <w:rsid w:val="005001A3"/>
    <w:rsid w:val="005036DA"/>
    <w:rsid w:val="005052C9"/>
    <w:rsid w:val="00506961"/>
    <w:rsid w:val="0051496C"/>
    <w:rsid w:val="00514B79"/>
    <w:rsid w:val="00514D9F"/>
    <w:rsid w:val="00516EB5"/>
    <w:rsid w:val="00520546"/>
    <w:rsid w:val="00520743"/>
    <w:rsid w:val="00521C79"/>
    <w:rsid w:val="00522F6B"/>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76712"/>
    <w:rsid w:val="00580B24"/>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E8F"/>
    <w:rsid w:val="005A7BD4"/>
    <w:rsid w:val="005B14FF"/>
    <w:rsid w:val="005B1CD7"/>
    <w:rsid w:val="005B2DC1"/>
    <w:rsid w:val="005C0A7E"/>
    <w:rsid w:val="005C44D3"/>
    <w:rsid w:val="005C52BF"/>
    <w:rsid w:val="005D0472"/>
    <w:rsid w:val="005D096A"/>
    <w:rsid w:val="005D0F52"/>
    <w:rsid w:val="005D1708"/>
    <w:rsid w:val="005D1FCD"/>
    <w:rsid w:val="005D2708"/>
    <w:rsid w:val="005D4C96"/>
    <w:rsid w:val="005D4CAA"/>
    <w:rsid w:val="005D61B2"/>
    <w:rsid w:val="005D7A04"/>
    <w:rsid w:val="005D7D5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17862"/>
    <w:rsid w:val="0062197D"/>
    <w:rsid w:val="00621A6E"/>
    <w:rsid w:val="00622075"/>
    <w:rsid w:val="00622F2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A7884"/>
    <w:rsid w:val="006B245C"/>
    <w:rsid w:val="006B2525"/>
    <w:rsid w:val="006B5B75"/>
    <w:rsid w:val="006C0829"/>
    <w:rsid w:val="006C5DC3"/>
    <w:rsid w:val="006C66E6"/>
    <w:rsid w:val="006C67B9"/>
    <w:rsid w:val="006C7316"/>
    <w:rsid w:val="006D2304"/>
    <w:rsid w:val="006D2A6D"/>
    <w:rsid w:val="006D2CBF"/>
    <w:rsid w:val="006D39A3"/>
    <w:rsid w:val="006D45FC"/>
    <w:rsid w:val="006D6865"/>
    <w:rsid w:val="006D76CD"/>
    <w:rsid w:val="006E115A"/>
    <w:rsid w:val="006E1967"/>
    <w:rsid w:val="006E321C"/>
    <w:rsid w:val="006E4216"/>
    <w:rsid w:val="006F1C29"/>
    <w:rsid w:val="006F289B"/>
    <w:rsid w:val="006F3289"/>
    <w:rsid w:val="006F384E"/>
    <w:rsid w:val="006F4F4E"/>
    <w:rsid w:val="006F678D"/>
    <w:rsid w:val="006F6B2B"/>
    <w:rsid w:val="007021B6"/>
    <w:rsid w:val="007033F0"/>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3658"/>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01A7"/>
    <w:rsid w:val="007844BE"/>
    <w:rsid w:val="00792345"/>
    <w:rsid w:val="00794512"/>
    <w:rsid w:val="00794A0D"/>
    <w:rsid w:val="00794DF0"/>
    <w:rsid w:val="007965D8"/>
    <w:rsid w:val="00797ADB"/>
    <w:rsid w:val="007A0156"/>
    <w:rsid w:val="007A2B08"/>
    <w:rsid w:val="007A3826"/>
    <w:rsid w:val="007A4758"/>
    <w:rsid w:val="007A6FDA"/>
    <w:rsid w:val="007B079D"/>
    <w:rsid w:val="007B18C9"/>
    <w:rsid w:val="007B1E02"/>
    <w:rsid w:val="007B43D0"/>
    <w:rsid w:val="007B557C"/>
    <w:rsid w:val="007B7D73"/>
    <w:rsid w:val="007C0474"/>
    <w:rsid w:val="007C0818"/>
    <w:rsid w:val="007C14E9"/>
    <w:rsid w:val="007C1DA9"/>
    <w:rsid w:val="007C4603"/>
    <w:rsid w:val="007C49EC"/>
    <w:rsid w:val="007C4D1A"/>
    <w:rsid w:val="007D09BB"/>
    <w:rsid w:val="007D1ABF"/>
    <w:rsid w:val="007D4E0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6DFA"/>
    <w:rsid w:val="007F7A85"/>
    <w:rsid w:val="00800105"/>
    <w:rsid w:val="00802872"/>
    <w:rsid w:val="00803D62"/>
    <w:rsid w:val="008100A9"/>
    <w:rsid w:val="00811984"/>
    <w:rsid w:val="0081291E"/>
    <w:rsid w:val="00813688"/>
    <w:rsid w:val="00813C8F"/>
    <w:rsid w:val="008142FD"/>
    <w:rsid w:val="00815712"/>
    <w:rsid w:val="00815A88"/>
    <w:rsid w:val="008164A1"/>
    <w:rsid w:val="00817219"/>
    <w:rsid w:val="00817A23"/>
    <w:rsid w:val="00820F8C"/>
    <w:rsid w:val="0082177D"/>
    <w:rsid w:val="0082358A"/>
    <w:rsid w:val="00824FAD"/>
    <w:rsid w:val="0082509B"/>
    <w:rsid w:val="00832F1E"/>
    <w:rsid w:val="0083685F"/>
    <w:rsid w:val="00837339"/>
    <w:rsid w:val="0083744D"/>
    <w:rsid w:val="00847AA7"/>
    <w:rsid w:val="008517E1"/>
    <w:rsid w:val="00862056"/>
    <w:rsid w:val="008647B5"/>
    <w:rsid w:val="00864CBC"/>
    <w:rsid w:val="0086694B"/>
    <w:rsid w:val="00867A19"/>
    <w:rsid w:val="0087150A"/>
    <w:rsid w:val="0087211E"/>
    <w:rsid w:val="00873990"/>
    <w:rsid w:val="00874A56"/>
    <w:rsid w:val="00881A87"/>
    <w:rsid w:val="00881D56"/>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A7DC7"/>
    <w:rsid w:val="008B2F7C"/>
    <w:rsid w:val="008B51C1"/>
    <w:rsid w:val="008B79A5"/>
    <w:rsid w:val="008C03B4"/>
    <w:rsid w:val="008C055E"/>
    <w:rsid w:val="008C1BF6"/>
    <w:rsid w:val="008C2604"/>
    <w:rsid w:val="008C2708"/>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8F6A0D"/>
    <w:rsid w:val="008F7B48"/>
    <w:rsid w:val="0090068E"/>
    <w:rsid w:val="00900D2C"/>
    <w:rsid w:val="009030AC"/>
    <w:rsid w:val="009059FB"/>
    <w:rsid w:val="00912103"/>
    <w:rsid w:val="009145C7"/>
    <w:rsid w:val="00916232"/>
    <w:rsid w:val="00916CDA"/>
    <w:rsid w:val="00917064"/>
    <w:rsid w:val="0092098B"/>
    <w:rsid w:val="00920C7B"/>
    <w:rsid w:val="00922FBB"/>
    <w:rsid w:val="009235D6"/>
    <w:rsid w:val="00926614"/>
    <w:rsid w:val="00927E8A"/>
    <w:rsid w:val="0093236F"/>
    <w:rsid w:val="00932BC5"/>
    <w:rsid w:val="00936015"/>
    <w:rsid w:val="009361F9"/>
    <w:rsid w:val="00936660"/>
    <w:rsid w:val="00937BF1"/>
    <w:rsid w:val="00937F0E"/>
    <w:rsid w:val="00941D3A"/>
    <w:rsid w:val="00942712"/>
    <w:rsid w:val="00945A79"/>
    <w:rsid w:val="00950151"/>
    <w:rsid w:val="00951444"/>
    <w:rsid w:val="00951800"/>
    <w:rsid w:val="00952014"/>
    <w:rsid w:val="009576D3"/>
    <w:rsid w:val="00964308"/>
    <w:rsid w:val="00964587"/>
    <w:rsid w:val="00964B1D"/>
    <w:rsid w:val="00966430"/>
    <w:rsid w:val="009734A6"/>
    <w:rsid w:val="00976970"/>
    <w:rsid w:val="00976D4F"/>
    <w:rsid w:val="0098034C"/>
    <w:rsid w:val="009821BE"/>
    <w:rsid w:val="0098486B"/>
    <w:rsid w:val="0098630E"/>
    <w:rsid w:val="00990549"/>
    <w:rsid w:val="009927B8"/>
    <w:rsid w:val="00994C26"/>
    <w:rsid w:val="009968EE"/>
    <w:rsid w:val="009977AB"/>
    <w:rsid w:val="009A0482"/>
    <w:rsid w:val="009A06C4"/>
    <w:rsid w:val="009A353A"/>
    <w:rsid w:val="009A4878"/>
    <w:rsid w:val="009A4EF7"/>
    <w:rsid w:val="009A550B"/>
    <w:rsid w:val="009B0F58"/>
    <w:rsid w:val="009B3CA7"/>
    <w:rsid w:val="009B5FBE"/>
    <w:rsid w:val="009B72B5"/>
    <w:rsid w:val="009C259F"/>
    <w:rsid w:val="009C32E6"/>
    <w:rsid w:val="009C38EB"/>
    <w:rsid w:val="009C423A"/>
    <w:rsid w:val="009C48A3"/>
    <w:rsid w:val="009C4EC3"/>
    <w:rsid w:val="009C6D7D"/>
    <w:rsid w:val="009C7120"/>
    <w:rsid w:val="009C7248"/>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9F6B69"/>
    <w:rsid w:val="00A00C54"/>
    <w:rsid w:val="00A01E75"/>
    <w:rsid w:val="00A0258F"/>
    <w:rsid w:val="00A03E08"/>
    <w:rsid w:val="00A051E2"/>
    <w:rsid w:val="00A10A53"/>
    <w:rsid w:val="00A117BE"/>
    <w:rsid w:val="00A13085"/>
    <w:rsid w:val="00A15670"/>
    <w:rsid w:val="00A178E7"/>
    <w:rsid w:val="00A22C6A"/>
    <w:rsid w:val="00A232C1"/>
    <w:rsid w:val="00A31FEE"/>
    <w:rsid w:val="00A32194"/>
    <w:rsid w:val="00A32665"/>
    <w:rsid w:val="00A330AB"/>
    <w:rsid w:val="00A334AB"/>
    <w:rsid w:val="00A33CF4"/>
    <w:rsid w:val="00A348FB"/>
    <w:rsid w:val="00A34F6C"/>
    <w:rsid w:val="00A37803"/>
    <w:rsid w:val="00A37976"/>
    <w:rsid w:val="00A40107"/>
    <w:rsid w:val="00A40FD8"/>
    <w:rsid w:val="00A42B2E"/>
    <w:rsid w:val="00A43965"/>
    <w:rsid w:val="00A43A8F"/>
    <w:rsid w:val="00A43B37"/>
    <w:rsid w:val="00A4515C"/>
    <w:rsid w:val="00A46AF1"/>
    <w:rsid w:val="00A47816"/>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1AFB"/>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0838"/>
    <w:rsid w:val="00AD144A"/>
    <w:rsid w:val="00AD43DC"/>
    <w:rsid w:val="00AD7C70"/>
    <w:rsid w:val="00AE29F7"/>
    <w:rsid w:val="00AE3B53"/>
    <w:rsid w:val="00AE4236"/>
    <w:rsid w:val="00AE51B0"/>
    <w:rsid w:val="00AE591A"/>
    <w:rsid w:val="00AE7F3B"/>
    <w:rsid w:val="00AF21D0"/>
    <w:rsid w:val="00AF3D5A"/>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CCD"/>
    <w:rsid w:val="00B27F6B"/>
    <w:rsid w:val="00B30292"/>
    <w:rsid w:val="00B30409"/>
    <w:rsid w:val="00B3232C"/>
    <w:rsid w:val="00B345B0"/>
    <w:rsid w:val="00B35201"/>
    <w:rsid w:val="00B35DEE"/>
    <w:rsid w:val="00B368BD"/>
    <w:rsid w:val="00B36C5A"/>
    <w:rsid w:val="00B40294"/>
    <w:rsid w:val="00B428BD"/>
    <w:rsid w:val="00B42CF6"/>
    <w:rsid w:val="00B4307D"/>
    <w:rsid w:val="00B43B19"/>
    <w:rsid w:val="00B43F8D"/>
    <w:rsid w:val="00B46126"/>
    <w:rsid w:val="00B50FDA"/>
    <w:rsid w:val="00B512FE"/>
    <w:rsid w:val="00B530F2"/>
    <w:rsid w:val="00B53E85"/>
    <w:rsid w:val="00B54837"/>
    <w:rsid w:val="00B54C9E"/>
    <w:rsid w:val="00B560AA"/>
    <w:rsid w:val="00B61ED5"/>
    <w:rsid w:val="00B63086"/>
    <w:rsid w:val="00B67DC9"/>
    <w:rsid w:val="00B7385F"/>
    <w:rsid w:val="00B74EDD"/>
    <w:rsid w:val="00B75411"/>
    <w:rsid w:val="00B80578"/>
    <w:rsid w:val="00B82E1E"/>
    <w:rsid w:val="00B82F92"/>
    <w:rsid w:val="00B86834"/>
    <w:rsid w:val="00B86897"/>
    <w:rsid w:val="00B91035"/>
    <w:rsid w:val="00B91541"/>
    <w:rsid w:val="00B91C42"/>
    <w:rsid w:val="00B92219"/>
    <w:rsid w:val="00B9399D"/>
    <w:rsid w:val="00B978C6"/>
    <w:rsid w:val="00BA09F4"/>
    <w:rsid w:val="00BA11F0"/>
    <w:rsid w:val="00BA13A3"/>
    <w:rsid w:val="00BA1C0F"/>
    <w:rsid w:val="00BA3FBD"/>
    <w:rsid w:val="00BA4C46"/>
    <w:rsid w:val="00BA5B76"/>
    <w:rsid w:val="00BA6C68"/>
    <w:rsid w:val="00BB2910"/>
    <w:rsid w:val="00BB368C"/>
    <w:rsid w:val="00BB39B5"/>
    <w:rsid w:val="00BB6B7A"/>
    <w:rsid w:val="00BB74CD"/>
    <w:rsid w:val="00BB7985"/>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81"/>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5316"/>
    <w:rsid w:val="00C1622F"/>
    <w:rsid w:val="00C17875"/>
    <w:rsid w:val="00C215CE"/>
    <w:rsid w:val="00C2490B"/>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0528"/>
    <w:rsid w:val="00CA1366"/>
    <w:rsid w:val="00CA17BB"/>
    <w:rsid w:val="00CA352C"/>
    <w:rsid w:val="00CA388A"/>
    <w:rsid w:val="00CA53DD"/>
    <w:rsid w:val="00CA5712"/>
    <w:rsid w:val="00CB0112"/>
    <w:rsid w:val="00CB04AE"/>
    <w:rsid w:val="00CB6E4A"/>
    <w:rsid w:val="00CB7C76"/>
    <w:rsid w:val="00CC16D1"/>
    <w:rsid w:val="00CC1987"/>
    <w:rsid w:val="00CC5671"/>
    <w:rsid w:val="00CC5FEC"/>
    <w:rsid w:val="00CD0C86"/>
    <w:rsid w:val="00CD10D7"/>
    <w:rsid w:val="00CD29DE"/>
    <w:rsid w:val="00CD2FDC"/>
    <w:rsid w:val="00CD3C65"/>
    <w:rsid w:val="00CD4CC6"/>
    <w:rsid w:val="00CE032A"/>
    <w:rsid w:val="00CE3CF9"/>
    <w:rsid w:val="00CE50F7"/>
    <w:rsid w:val="00CF406D"/>
    <w:rsid w:val="00CF5C38"/>
    <w:rsid w:val="00CF6EA4"/>
    <w:rsid w:val="00D027C4"/>
    <w:rsid w:val="00D03824"/>
    <w:rsid w:val="00D04275"/>
    <w:rsid w:val="00D0752F"/>
    <w:rsid w:val="00D07E43"/>
    <w:rsid w:val="00D13E68"/>
    <w:rsid w:val="00D168A9"/>
    <w:rsid w:val="00D17DF2"/>
    <w:rsid w:val="00D207FE"/>
    <w:rsid w:val="00D22A9C"/>
    <w:rsid w:val="00D306B4"/>
    <w:rsid w:val="00D315D9"/>
    <w:rsid w:val="00D31CCC"/>
    <w:rsid w:val="00D331DF"/>
    <w:rsid w:val="00D34AF3"/>
    <w:rsid w:val="00D36A9A"/>
    <w:rsid w:val="00D37234"/>
    <w:rsid w:val="00D37A98"/>
    <w:rsid w:val="00D40A41"/>
    <w:rsid w:val="00D43574"/>
    <w:rsid w:val="00D439C6"/>
    <w:rsid w:val="00D45E82"/>
    <w:rsid w:val="00D4600C"/>
    <w:rsid w:val="00D47ECA"/>
    <w:rsid w:val="00D5314D"/>
    <w:rsid w:val="00D54324"/>
    <w:rsid w:val="00D5441B"/>
    <w:rsid w:val="00D548D6"/>
    <w:rsid w:val="00D56098"/>
    <w:rsid w:val="00D5682F"/>
    <w:rsid w:val="00D651BE"/>
    <w:rsid w:val="00D66AD0"/>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3D5"/>
    <w:rsid w:val="00DA450C"/>
    <w:rsid w:val="00DA626A"/>
    <w:rsid w:val="00DB2E50"/>
    <w:rsid w:val="00DB364B"/>
    <w:rsid w:val="00DB4EF0"/>
    <w:rsid w:val="00DB5064"/>
    <w:rsid w:val="00DB559C"/>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E5131"/>
    <w:rsid w:val="00DE698F"/>
    <w:rsid w:val="00DF098F"/>
    <w:rsid w:val="00DF438D"/>
    <w:rsid w:val="00E01159"/>
    <w:rsid w:val="00E042B7"/>
    <w:rsid w:val="00E05F99"/>
    <w:rsid w:val="00E06073"/>
    <w:rsid w:val="00E07950"/>
    <w:rsid w:val="00E132EC"/>
    <w:rsid w:val="00E140B3"/>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3A82"/>
    <w:rsid w:val="00E56DDC"/>
    <w:rsid w:val="00E612CB"/>
    <w:rsid w:val="00E61FA2"/>
    <w:rsid w:val="00E6327B"/>
    <w:rsid w:val="00E63387"/>
    <w:rsid w:val="00E64566"/>
    <w:rsid w:val="00E64A66"/>
    <w:rsid w:val="00E6629F"/>
    <w:rsid w:val="00E701D4"/>
    <w:rsid w:val="00E72D55"/>
    <w:rsid w:val="00E735C0"/>
    <w:rsid w:val="00E74B59"/>
    <w:rsid w:val="00E75C01"/>
    <w:rsid w:val="00E76F13"/>
    <w:rsid w:val="00E76FC2"/>
    <w:rsid w:val="00E773AE"/>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C7884"/>
    <w:rsid w:val="00ED01B6"/>
    <w:rsid w:val="00ED08C9"/>
    <w:rsid w:val="00ED1710"/>
    <w:rsid w:val="00ED2C17"/>
    <w:rsid w:val="00ED49B8"/>
    <w:rsid w:val="00ED4E41"/>
    <w:rsid w:val="00ED4E74"/>
    <w:rsid w:val="00ED5226"/>
    <w:rsid w:val="00EE0DBB"/>
    <w:rsid w:val="00EE3D85"/>
    <w:rsid w:val="00EE4363"/>
    <w:rsid w:val="00EF3895"/>
    <w:rsid w:val="00EF3B77"/>
    <w:rsid w:val="00EF6BD5"/>
    <w:rsid w:val="00EF7093"/>
    <w:rsid w:val="00F00A2C"/>
    <w:rsid w:val="00F01B8A"/>
    <w:rsid w:val="00F01F63"/>
    <w:rsid w:val="00F0235E"/>
    <w:rsid w:val="00F03BB8"/>
    <w:rsid w:val="00F0407F"/>
    <w:rsid w:val="00F040B2"/>
    <w:rsid w:val="00F061DF"/>
    <w:rsid w:val="00F06823"/>
    <w:rsid w:val="00F07BC3"/>
    <w:rsid w:val="00F12428"/>
    <w:rsid w:val="00F12A50"/>
    <w:rsid w:val="00F177B8"/>
    <w:rsid w:val="00F2103C"/>
    <w:rsid w:val="00F228D1"/>
    <w:rsid w:val="00F248ED"/>
    <w:rsid w:val="00F271AF"/>
    <w:rsid w:val="00F27E2A"/>
    <w:rsid w:val="00F31A5E"/>
    <w:rsid w:val="00F31E2E"/>
    <w:rsid w:val="00F34A67"/>
    <w:rsid w:val="00F35FEC"/>
    <w:rsid w:val="00F408F2"/>
    <w:rsid w:val="00F42155"/>
    <w:rsid w:val="00F42FEE"/>
    <w:rsid w:val="00F43855"/>
    <w:rsid w:val="00F46E16"/>
    <w:rsid w:val="00F47217"/>
    <w:rsid w:val="00F47532"/>
    <w:rsid w:val="00F5137F"/>
    <w:rsid w:val="00F5249C"/>
    <w:rsid w:val="00F56BDA"/>
    <w:rsid w:val="00F6043E"/>
    <w:rsid w:val="00F60658"/>
    <w:rsid w:val="00F60831"/>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0DD1"/>
    <w:rsid w:val="00FC1C09"/>
    <w:rsid w:val="00FC281B"/>
    <w:rsid w:val="00FC3258"/>
    <w:rsid w:val="00FC57CF"/>
    <w:rsid w:val="00FC5AF9"/>
    <w:rsid w:val="00FC64AA"/>
    <w:rsid w:val="00FC69A8"/>
    <w:rsid w:val="00FD1D04"/>
    <w:rsid w:val="00FD29B4"/>
    <w:rsid w:val="00FD32D1"/>
    <w:rsid w:val="00FD34FB"/>
    <w:rsid w:val="00FD3B3A"/>
    <w:rsid w:val="00FD664B"/>
    <w:rsid w:val="00FE04E7"/>
    <w:rsid w:val="00FE0F4C"/>
    <w:rsid w:val="00FE151C"/>
    <w:rsid w:val="00FE1ABE"/>
    <w:rsid w:val="00FE2070"/>
    <w:rsid w:val="00FE30B2"/>
    <w:rsid w:val="00FE36AE"/>
    <w:rsid w:val="00FF0567"/>
    <w:rsid w:val="00FF2390"/>
    <w:rsid w:val="00FF284F"/>
    <w:rsid w:val="00FF3E58"/>
    <w:rsid w:val="00FF5236"/>
    <w:rsid w:val="00FF5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FB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2D224A"/>
    <w:rPr>
      <w:rFonts w:ascii="Arial" w:eastAsia="Times New Roman" w:hAnsi="Arial" w:cs="Times New Roman"/>
      <w:b/>
      <w:sz w:val="20"/>
      <w:szCs w:val="20"/>
      <w:lang w:val="en-GB"/>
    </w:rPr>
  </w:style>
  <w:style w:type="character" w:customStyle="1" w:styleId="TALCar">
    <w:name w:val="TAL Car"/>
    <w:rsid w:val="004109E5"/>
    <w:rPr>
      <w:rFonts w:ascii="Arial" w:eastAsia="Times New Roman" w:hAnsi="Arial"/>
      <w:sz w:val="18"/>
      <w:lang w:val="en-GB"/>
    </w:rPr>
  </w:style>
  <w:style w:type="character" w:customStyle="1" w:styleId="TACChar">
    <w:name w:val="TAC Char"/>
    <w:link w:val="TAC"/>
    <w:rsid w:val="004109E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214339">
      <w:bodyDiv w:val="1"/>
      <w:marLeft w:val="0"/>
      <w:marRight w:val="0"/>
      <w:marTop w:val="0"/>
      <w:marBottom w:val="0"/>
      <w:divBdr>
        <w:top w:val="none" w:sz="0" w:space="0" w:color="auto"/>
        <w:left w:val="none" w:sz="0" w:space="0" w:color="auto"/>
        <w:bottom w:val="none" w:sz="0" w:space="0" w:color="auto"/>
        <w:right w:val="none" w:sz="0" w:space="0" w:color="auto"/>
      </w:divBdr>
    </w:div>
    <w:div w:id="699625644">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39206189">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CC77D-44D6-430B-9397-095AEDAA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4</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387</cp:revision>
  <cp:lastPrinted>2015-07-20T19:34:00Z</cp:lastPrinted>
  <dcterms:created xsi:type="dcterms:W3CDTF">2015-09-03T17:40:00Z</dcterms:created>
  <dcterms:modified xsi:type="dcterms:W3CDTF">2016-02-06T01:38:00Z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